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CE" w:rsidRDefault="007A40CE" w:rsidP="007A40CE">
      <w:pPr>
        <w:pStyle w:val="Heading1"/>
        <w:spacing w:before="240"/>
      </w:pPr>
      <w:r>
        <w:t xml:space="preserve">Critical values for soil P, K and S for near maximum </w:t>
      </w:r>
      <w:r w:rsidRPr="00A27784">
        <w:t xml:space="preserve">wheat, canola and lupin </w:t>
      </w:r>
      <w:r>
        <w:t xml:space="preserve">production </w:t>
      </w:r>
      <w:r w:rsidRPr="00A27784">
        <w:t xml:space="preserve">in </w:t>
      </w:r>
      <w:r>
        <w:t>Western Australia</w:t>
      </w:r>
    </w:p>
    <w:p w:rsidR="007A40CE" w:rsidRDefault="007A40CE" w:rsidP="007A40CE">
      <w:pPr>
        <w:pStyle w:val="Author"/>
      </w:pPr>
      <w:r w:rsidRPr="00A27784">
        <w:t>Geoff Anderson</w:t>
      </w:r>
      <w:r w:rsidRPr="009B2E7F">
        <w:rPr>
          <w:vertAlign w:val="superscript"/>
        </w:rPr>
        <w:t>1</w:t>
      </w:r>
      <w:r w:rsidRPr="00A27784">
        <w:t>, Wen Chen</w:t>
      </w:r>
      <w:r w:rsidRPr="009B2E7F">
        <w:rPr>
          <w:vertAlign w:val="superscript"/>
        </w:rPr>
        <w:t>2</w:t>
      </w:r>
      <w:r w:rsidRPr="00A27784">
        <w:t>, Richard Bell</w:t>
      </w:r>
      <w:r w:rsidRPr="009B2E7F">
        <w:rPr>
          <w:vertAlign w:val="superscript"/>
        </w:rPr>
        <w:t>3</w:t>
      </w:r>
      <w:r w:rsidRPr="00A27784">
        <w:t>, Ross Brennan</w:t>
      </w:r>
      <w:r w:rsidRPr="009B2E7F">
        <w:rPr>
          <w:vertAlign w:val="superscript"/>
        </w:rPr>
        <w:t>4</w:t>
      </w:r>
    </w:p>
    <w:p w:rsidR="007A40CE" w:rsidRPr="00A27784" w:rsidRDefault="007A40CE" w:rsidP="007A40CE">
      <w:pPr>
        <w:pStyle w:val="Author"/>
        <w:rPr>
          <w:b w:val="0"/>
          <w:bCs w:val="0"/>
        </w:rPr>
      </w:pPr>
      <w:r w:rsidRPr="00A27784">
        <w:rPr>
          <w:b w:val="0"/>
          <w:bCs w:val="0"/>
        </w:rPr>
        <w:t xml:space="preserve">1 Department of Agriculture and Food Western Australia, South Perth, </w:t>
      </w:r>
    </w:p>
    <w:p w:rsidR="007A40CE" w:rsidRPr="00A27784" w:rsidRDefault="007A40CE" w:rsidP="007A40CE">
      <w:pPr>
        <w:pStyle w:val="Author"/>
        <w:rPr>
          <w:b w:val="0"/>
          <w:bCs w:val="0"/>
        </w:rPr>
      </w:pPr>
      <w:r w:rsidRPr="00A27784">
        <w:rPr>
          <w:b w:val="0"/>
          <w:bCs w:val="0"/>
        </w:rPr>
        <w:t>2 The late Wen Che</w:t>
      </w:r>
      <w:r>
        <w:rPr>
          <w:b w:val="0"/>
          <w:bCs w:val="0"/>
        </w:rPr>
        <w:t>n, Murdoch University, Murdoch</w:t>
      </w:r>
    </w:p>
    <w:p w:rsidR="007A40CE" w:rsidRPr="00A27784" w:rsidRDefault="007A40CE" w:rsidP="007A40CE">
      <w:pPr>
        <w:pStyle w:val="Author"/>
        <w:rPr>
          <w:b w:val="0"/>
          <w:bCs w:val="0"/>
        </w:rPr>
      </w:pPr>
      <w:r w:rsidRPr="00A27784">
        <w:rPr>
          <w:b w:val="0"/>
          <w:bCs w:val="0"/>
        </w:rPr>
        <w:t xml:space="preserve">3 Murdoch </w:t>
      </w:r>
      <w:proofErr w:type="gramStart"/>
      <w:r w:rsidRPr="00A27784">
        <w:rPr>
          <w:b w:val="0"/>
          <w:bCs w:val="0"/>
        </w:rPr>
        <w:t>Uni</w:t>
      </w:r>
      <w:r>
        <w:rPr>
          <w:b w:val="0"/>
          <w:bCs w:val="0"/>
        </w:rPr>
        <w:t>versity</w:t>
      </w:r>
      <w:proofErr w:type="gramEnd"/>
      <w:r>
        <w:rPr>
          <w:b w:val="0"/>
          <w:bCs w:val="0"/>
        </w:rPr>
        <w:t>, Murdoch</w:t>
      </w:r>
      <w:r w:rsidRPr="00A27784">
        <w:rPr>
          <w:b w:val="0"/>
          <w:bCs w:val="0"/>
        </w:rPr>
        <w:t xml:space="preserve"> </w:t>
      </w:r>
    </w:p>
    <w:p w:rsidR="007A40CE" w:rsidRPr="00A27784" w:rsidRDefault="007A40CE" w:rsidP="007A40CE">
      <w:pPr>
        <w:pStyle w:val="Author"/>
        <w:rPr>
          <w:b w:val="0"/>
          <w:bCs w:val="0"/>
        </w:rPr>
      </w:pPr>
      <w:r w:rsidRPr="00A27784">
        <w:rPr>
          <w:b w:val="0"/>
          <w:bCs w:val="0"/>
        </w:rPr>
        <w:t xml:space="preserve">4 </w:t>
      </w:r>
      <w:proofErr w:type="gramStart"/>
      <w:r w:rsidRPr="00A27784">
        <w:rPr>
          <w:b w:val="0"/>
          <w:bCs w:val="0"/>
        </w:rPr>
        <w:t>Department</w:t>
      </w:r>
      <w:proofErr w:type="gramEnd"/>
      <w:r w:rsidRPr="00A27784">
        <w:rPr>
          <w:b w:val="0"/>
          <w:bCs w:val="0"/>
        </w:rPr>
        <w:t xml:space="preserve"> of Agriculture and Food Western Au</w:t>
      </w:r>
      <w:r>
        <w:rPr>
          <w:b w:val="0"/>
          <w:bCs w:val="0"/>
        </w:rPr>
        <w:t>stralia, Albany</w:t>
      </w:r>
    </w:p>
    <w:p w:rsidR="007A40CE" w:rsidRDefault="007A40CE" w:rsidP="007A40CE">
      <w:pPr>
        <w:pStyle w:val="Heading2"/>
      </w:pPr>
      <w:r>
        <w:t>Key Messages</w:t>
      </w:r>
    </w:p>
    <w:p w:rsidR="007A40CE" w:rsidRDefault="007A40CE" w:rsidP="007A40CE">
      <w:pPr>
        <w:pStyle w:val="para"/>
      </w:pPr>
      <w:r w:rsidRPr="00A27784">
        <w:t xml:space="preserve">Soil test P, K and S – </w:t>
      </w:r>
      <w:r>
        <w:t xml:space="preserve">yield </w:t>
      </w:r>
      <w:r w:rsidRPr="00A27784">
        <w:t>response relationships for wheat, lupin and canola can be used to make better fertiliser decisions</w:t>
      </w:r>
      <w:r>
        <w:t xml:space="preserve">.  Soil test using </w:t>
      </w:r>
      <w:r w:rsidRPr="00A27784">
        <w:t xml:space="preserve">0-10 cm soil </w:t>
      </w:r>
      <w:r>
        <w:t xml:space="preserve">samples </w:t>
      </w:r>
      <w:r w:rsidRPr="00A27784">
        <w:t xml:space="preserve">provided </w:t>
      </w:r>
      <w:r>
        <w:t xml:space="preserve">reliable </w:t>
      </w:r>
      <w:r w:rsidRPr="00A27784">
        <w:t xml:space="preserve">predictions of </w:t>
      </w:r>
      <w:r>
        <w:t xml:space="preserve">yield response to </w:t>
      </w:r>
      <w:r w:rsidRPr="00A27784">
        <w:t>P when separated into soil types with different P sorption capacities</w:t>
      </w:r>
      <w:r>
        <w:t xml:space="preserve">.  </w:t>
      </w:r>
      <w:r w:rsidRPr="00A27784">
        <w:t xml:space="preserve">In contrast, soil sampling to 30 cm depth improved wheat and canola </w:t>
      </w:r>
      <w:r>
        <w:t xml:space="preserve">yield response prediction with the </w:t>
      </w:r>
      <w:r w:rsidRPr="00A27784">
        <w:t>K soil test when the impact of soil acidity and potential yield on root distribution was taken into account</w:t>
      </w:r>
      <w:r>
        <w:t>.  The d</w:t>
      </w:r>
      <w:r w:rsidRPr="00A27784">
        <w:t>eeper soil sampling to 30 cm improved the relationship for S canola but not for wheat where rate of S leaching and potential yield appear to be important</w:t>
      </w:r>
      <w:r>
        <w:t xml:space="preserve">.  </w:t>
      </w:r>
      <w:r w:rsidRPr="00A27784">
        <w:t>The N soil test</w:t>
      </w:r>
      <w:r>
        <w:t xml:space="preserve">-response </w:t>
      </w:r>
      <w:r w:rsidRPr="00A27784">
        <w:t xml:space="preserve">relationships for wheat and canola were not significant and critical </w:t>
      </w:r>
      <w:r>
        <w:t>values</w:t>
      </w:r>
      <w:r w:rsidRPr="00A27784">
        <w:t xml:space="preserve"> could not be defined.</w:t>
      </w:r>
    </w:p>
    <w:p w:rsidR="007A40CE" w:rsidRDefault="007A40CE" w:rsidP="007A40CE">
      <w:pPr>
        <w:pStyle w:val="Heading2"/>
      </w:pPr>
      <w:r>
        <w:t>Aims</w:t>
      </w:r>
    </w:p>
    <w:p w:rsidR="007A40CE" w:rsidRDefault="007A40CE" w:rsidP="007A40CE">
      <w:pPr>
        <w:pStyle w:val="para"/>
      </w:pPr>
      <w:r w:rsidRPr="00A27784">
        <w:t>The aim of this paper is to define the soil test–grain yield response relationships for P, K, S and N with wheat, canola and lupin grown in WA.</w:t>
      </w:r>
    </w:p>
    <w:p w:rsidR="007A40CE" w:rsidRDefault="007A40CE" w:rsidP="007A40CE">
      <w:pPr>
        <w:pStyle w:val="Heading2"/>
      </w:pPr>
      <w:r>
        <w:t>method</w:t>
      </w:r>
    </w:p>
    <w:p w:rsidR="007A40CE" w:rsidRDefault="007A40CE" w:rsidP="007A40CE">
      <w:pPr>
        <w:pStyle w:val="Heading3"/>
      </w:pPr>
      <w:r w:rsidRPr="00A27784">
        <w:t xml:space="preserve">Data base </w:t>
      </w:r>
    </w:p>
    <w:p w:rsidR="007A40CE" w:rsidRDefault="007A40CE" w:rsidP="007A40CE">
      <w:pPr>
        <w:pStyle w:val="para"/>
      </w:pPr>
      <w:r>
        <w:t xml:space="preserve">A data base of 1824 fertiliser experiments conducted by the Department of Agriculture and Food (DAFWA) was developed.  All data accepted in the database met rigorous quality assurance criteria.  Since minimum tillage practices are currently used in WA, only trials conducted post 1990 were selected to define the soil test – crop response relations.  The exception was when the data base was small, for example K soil test – lupin response where all years were included in the analysis.  This limited the analysis to 1237 experiments.  Soil types were separated into grey sands, coloured (yellow, brown and red) sands, gravels, duplexes and loams.  The data are available on the web as an interactive data base “Making Better Fertiliser Decisions for Cropping Systems in Australia Interrogator” (www.bfdc.com.au). </w:t>
      </w:r>
    </w:p>
    <w:p w:rsidR="007A40CE" w:rsidRDefault="007A40CE" w:rsidP="007A40CE">
      <w:pPr>
        <w:pStyle w:val="Heading3"/>
      </w:pPr>
      <w:r w:rsidRPr="009B2E7F">
        <w:t>Soil test measurements</w:t>
      </w:r>
    </w:p>
    <w:p w:rsidR="007A40CE" w:rsidRDefault="007A40CE" w:rsidP="007A40CE">
      <w:pPr>
        <w:pStyle w:val="para"/>
      </w:pPr>
      <w:r>
        <w:t xml:space="preserve">Techniques used to measure plant available nutrients in Western Australia are; soil P test or bicarbonate extractable P (Colwell P), soil K test or bicarbonate extractable K (Colwell K), soil S test or KCl-40 extractable S and soil N test or </w:t>
      </w:r>
      <w:proofErr w:type="spellStart"/>
      <w:r>
        <w:t>KCl</w:t>
      </w:r>
      <w:proofErr w:type="spellEnd"/>
      <w:r>
        <w:t xml:space="preserve"> extractable nitrate and ammonium (</w:t>
      </w:r>
      <w:proofErr w:type="spellStart"/>
      <w:r>
        <w:t>Rayment</w:t>
      </w:r>
      <w:proofErr w:type="spellEnd"/>
      <w:r>
        <w:t xml:space="preserve"> and Lyons 2010).Other soil measurements undertaken to improve nutrient assessment of the soils include soil pH, total carbon content, clay content and P sorption capacity.  Various P sorption measurements have been conducted and include reactive iron, phosphorus retention index (PRI) and phosphate buffer index (PBI). </w:t>
      </w:r>
    </w:p>
    <w:p w:rsidR="007A40CE" w:rsidRDefault="007A40CE" w:rsidP="007A40CE">
      <w:pPr>
        <w:pStyle w:val="Heading3"/>
      </w:pPr>
      <w:r w:rsidRPr="00A27784">
        <w:t>Sampling layer</w:t>
      </w:r>
    </w:p>
    <w:p w:rsidR="007A40CE" w:rsidRDefault="007A40CE" w:rsidP="007A40CE">
      <w:pPr>
        <w:pStyle w:val="para"/>
      </w:pPr>
      <w:r>
        <w:t xml:space="preserve">Soil samples were collected prior to conducting the experiments.  The surface sampling layer was to 10 cm depth, except for N experiments where the surface sampling layer was to 15 cm.  Additional deeper soil samples were collected for many sites.  The most commonly used sub-soil sampling depth was to 30 cm for K, S and some P experiments and to 45 cm for N experiments.  For the 0-30 cm layer, concentration was calculated by averaging the concentration of the 0-10, 10-20 and 20-30 cm soil layers.  Soil N supply was calculated as amount of N extracted by soil test to depth of 45 cm plus predicted growing season N mineralisation based on levels of soil organic N (Anderson, unpublished data). The root distribution weighting approach of Wong et al. (2000) was used to examine the impact of root distribution on availability of soil K to wheat and canola </w:t>
      </w:r>
      <w:r>
        <w:lastRenderedPageBreak/>
        <w:t>to a depth of 30 cm.  The root distribution was slowed when the 0-10 cm soil layer pH was less than 5.5 and 10-20 cm layer pH was less than 4.5 and also when the wheat grain yield was less than 1.5 t/ha.</w:t>
      </w:r>
    </w:p>
    <w:p w:rsidR="007A40CE" w:rsidRDefault="007A40CE" w:rsidP="007A40CE">
      <w:pPr>
        <w:pStyle w:val="Heading3"/>
      </w:pPr>
      <w:r w:rsidRPr="00A27784">
        <w:t>Soil test – crop response relationships</w:t>
      </w:r>
    </w:p>
    <w:p w:rsidR="007A40CE" w:rsidRDefault="007A40CE" w:rsidP="007A40CE">
      <w:pPr>
        <w:pStyle w:val="para"/>
      </w:pPr>
      <w:r>
        <w:t xml:space="preserve">Nutrient rate experiments were conducted to derive crop grain yields (t/ha).  Fertiliser rates used and the number of rates applied varied widely among the experiments.  The data base mainly contains multiple nutrient rate treatments which generally produced a yield plateau to provide the most accurate assessment of maximum yield.  Percentage of maximum grain yield (PMY) was calculated by dividing the yield obtained for the nutrient rate used by the maximum yield observed among the nutrient rate treatments.  In some experiments, the maximum yield was observed for the nil rate treatment.  By definition, for each trial maximum </w:t>
      </w:r>
      <w:proofErr w:type="spellStart"/>
      <w:r>
        <w:t>percent</w:t>
      </w:r>
      <w:proofErr w:type="spellEnd"/>
      <w:r>
        <w:t xml:space="preserve"> yield is 100.  This approach allows comparison of across experiments on different soil types and under different seasonal conditions that produce differences in maximum crop grain yield.</w:t>
      </w:r>
    </w:p>
    <w:p w:rsidR="007A40CE" w:rsidRDefault="007A40CE" w:rsidP="007A40CE">
      <w:pPr>
        <w:pStyle w:val="para"/>
      </w:pPr>
      <w:r>
        <w:t xml:space="preserve">Soil test values were plotted on the x axis and PMY was plotted on the y axis. Critical soil test levels were calculated to correspond to 95% PMY.  The critical range around the critical value was calculated from the standard errors associated in defining the 95% PMY. </w:t>
      </w:r>
    </w:p>
    <w:p w:rsidR="007A40CE" w:rsidRDefault="007A40CE" w:rsidP="007A40CE">
      <w:pPr>
        <w:pStyle w:val="Heading2"/>
      </w:pPr>
      <w:r>
        <w:t>results</w:t>
      </w:r>
    </w:p>
    <w:p w:rsidR="007A40CE" w:rsidRDefault="007A40CE" w:rsidP="007A40CE">
      <w:pPr>
        <w:pStyle w:val="Heading3"/>
      </w:pPr>
      <w:r>
        <w:t>P</w:t>
      </w:r>
    </w:p>
    <w:p w:rsidR="007A40CE" w:rsidRDefault="007A40CE" w:rsidP="007A40CE">
      <w:pPr>
        <w:pStyle w:val="para"/>
      </w:pPr>
      <w:r>
        <w:t>Critical soil test P value for crops (wheat, canola and lupin) differed among soil types (Table 1) due to differences in P sorption properties.  For wheat, on grey sands, it was 15 mg/kg (critical range 12-17 mg/kg) and for other soils it was 29 mg/kg (critical range 28-31 mg/kg).  The critical canola soil P test value was 20 mg/kg (critical range 17-25 mg/kg) across a wide range of soil types.  The critical lupin soil P test for grey sands was 14 mg/kg (critical range 11-16 mg/kg) and for yellow sands it was 24 mg/kg (critical range 18-30 mg/kg).</w:t>
      </w:r>
    </w:p>
    <w:p w:rsidR="007A40CE" w:rsidRDefault="007A40CE" w:rsidP="007A40CE">
      <w:pPr>
        <w:pStyle w:val="Heading3"/>
      </w:pPr>
      <w:r>
        <w:t>K</w:t>
      </w:r>
    </w:p>
    <w:p w:rsidR="007A40CE" w:rsidRDefault="007A40CE" w:rsidP="007A40CE">
      <w:pPr>
        <w:pStyle w:val="para"/>
      </w:pPr>
      <w:r>
        <w:t xml:space="preserve">When using the 0-10 cm samples, the soil K test - wheat grain yield response relationship was poor, when data was pooled across all soil types (Table 1).  In contrast, the soil K test – canola yield response relationship defined a critical value of 57 mg/kg (critical range 53-61 mg/kg).  The relationship for wheat was improved when soils were separated into different soil types.  Grey sands had lower critical values of 32 mg/kg (critical range 17-47 mg/kg) compared to yellow sands, gravels and loams, with defined critical value of 59 mg/kg (critical range 44-74 mg/kg).  Duplex soils had a poor relationship and the critical value was 53 mg/kg with a large critical range of 43-63 mg/kg.  The relationship for lupin grown on grey sands defined a critical value of 27 mg/kg (critical range 23-30 mg/kg). </w:t>
      </w:r>
    </w:p>
    <w:p w:rsidR="007A40CE" w:rsidRDefault="007A40CE" w:rsidP="007A40CE">
      <w:pPr>
        <w:pStyle w:val="para"/>
      </w:pPr>
      <w:r>
        <w:t>When using the 0-30 cm sampling depth (mg/kg), the soil K test - wheat grain yield response relationship was also poor (Table 1).  In contrast, the soil K test – canola yield response relationship defined a critical value of 39 mg K/kg (critical range 37-41 mg K/kg). Application of the Wong et al. (2000) root distribution approach improved the relationships when the rate of root growth was decreased due to soil acidity and low yield potential.  The weighted critical soil K test for wheat (0-30 cm) was defined as 32 mg/kg (critical range 29-35 mg/kg) and for canola was defined as 40 mg/kg (critical range 36-44 mg/kg).</w:t>
      </w: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Default="007A40CE" w:rsidP="007A40CE">
      <w:pPr>
        <w:rPr>
          <w:lang w:eastAsia="en-AU"/>
        </w:rPr>
      </w:pPr>
    </w:p>
    <w:p w:rsidR="007A40CE" w:rsidRPr="007A40CE" w:rsidRDefault="007A40CE" w:rsidP="007A40CE">
      <w:pPr>
        <w:rPr>
          <w:lang w:eastAsia="en-AU"/>
        </w:rPr>
      </w:pPr>
    </w:p>
    <w:p w:rsidR="007A40CE" w:rsidRDefault="007A40CE" w:rsidP="007A40CE">
      <w:pPr>
        <w:pStyle w:val="para"/>
      </w:pPr>
      <w:proofErr w:type="gramStart"/>
      <w:r w:rsidRPr="007E1303">
        <w:lastRenderedPageBreak/>
        <w:t>Table 1.</w:t>
      </w:r>
      <w:proofErr w:type="gramEnd"/>
      <w:r w:rsidRPr="007E1303">
        <w:t xml:space="preserve"> </w:t>
      </w:r>
      <w:proofErr w:type="gramStart"/>
      <w:r w:rsidRPr="007E1303">
        <w:t xml:space="preserve">Critical </w:t>
      </w:r>
      <w:r>
        <w:t xml:space="preserve">Colwell P, Colwell K and KCl40-S </w:t>
      </w:r>
      <w:r w:rsidRPr="007E1303">
        <w:t xml:space="preserve">values, </w:t>
      </w:r>
      <w:r>
        <w:t>critical range</w:t>
      </w:r>
      <w:r w:rsidRPr="007E1303">
        <w:t>s and regression coefficients for soil test – crop response relat</w:t>
      </w:r>
      <w:r>
        <w:t>i</w:t>
      </w:r>
      <w:r w:rsidRPr="007E1303">
        <w:t>onships by nutrient, crop, soil type and soil depth.</w:t>
      </w:r>
      <w:proofErr w:type="gramEnd"/>
      <w:r w:rsidRPr="007E1303">
        <w:t xml:space="preserve"> </w:t>
      </w:r>
    </w:p>
    <w:tbl>
      <w:tblPr>
        <w:tblStyle w:val="TableGrid"/>
        <w:tblW w:w="9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
        <w:gridCol w:w="850"/>
        <w:gridCol w:w="1149"/>
        <w:gridCol w:w="2835"/>
        <w:gridCol w:w="850"/>
        <w:gridCol w:w="1008"/>
        <w:gridCol w:w="1276"/>
        <w:gridCol w:w="709"/>
      </w:tblGrid>
      <w:tr w:rsidR="007A40CE" w:rsidRPr="007E1303" w:rsidTr="00D515D9">
        <w:tc>
          <w:tcPr>
            <w:tcW w:w="661"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proofErr w:type="spellStart"/>
            <w:r w:rsidRPr="007E1303">
              <w:t>Nutr-ient</w:t>
            </w:r>
            <w:proofErr w:type="spellEnd"/>
          </w:p>
        </w:tc>
        <w:tc>
          <w:tcPr>
            <w:tcW w:w="850"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rsidRPr="007E1303">
              <w:t>Crop</w:t>
            </w:r>
          </w:p>
        </w:tc>
        <w:tc>
          <w:tcPr>
            <w:tcW w:w="1149"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rsidRPr="007E1303">
              <w:t>Soil depth</w:t>
            </w:r>
          </w:p>
        </w:tc>
        <w:tc>
          <w:tcPr>
            <w:tcW w:w="2835"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rsidRPr="007E1303">
              <w:t>Soil type</w:t>
            </w:r>
          </w:p>
        </w:tc>
        <w:tc>
          <w:tcPr>
            <w:tcW w:w="850"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rsidRPr="007E1303">
              <w:t xml:space="preserve">No of </w:t>
            </w:r>
            <w:proofErr w:type="spellStart"/>
            <w:r w:rsidRPr="007E1303">
              <w:t>experi</w:t>
            </w:r>
            <w:r>
              <w:t>-</w:t>
            </w:r>
            <w:r w:rsidRPr="007E1303">
              <w:t>ments</w:t>
            </w:r>
            <w:proofErr w:type="spellEnd"/>
          </w:p>
        </w:tc>
        <w:tc>
          <w:tcPr>
            <w:tcW w:w="1008"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rsidRPr="007E1303">
              <w:t xml:space="preserve">Critical </w:t>
            </w:r>
            <w:proofErr w:type="spellStart"/>
            <w:r w:rsidRPr="007E1303">
              <w:t>values</w:t>
            </w:r>
            <w:r>
              <w:rPr>
                <w:vertAlign w:val="superscript"/>
              </w:rPr>
              <w:t>D</w:t>
            </w:r>
            <w:proofErr w:type="spellEnd"/>
            <w:r>
              <w:rPr>
                <w:vertAlign w:val="superscript"/>
              </w:rPr>
              <w:t xml:space="preserve"> </w:t>
            </w:r>
            <w:r w:rsidRPr="00354BAE">
              <w:t>(mg/kg)</w:t>
            </w:r>
          </w:p>
        </w:tc>
        <w:tc>
          <w:tcPr>
            <w:tcW w:w="1276"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t xml:space="preserve">Critical </w:t>
            </w:r>
            <w:proofErr w:type="spellStart"/>
            <w:r>
              <w:t>range</w:t>
            </w:r>
            <w:r w:rsidRPr="007E1303">
              <w:t>s</w:t>
            </w:r>
            <w:r>
              <w:rPr>
                <w:vertAlign w:val="superscript"/>
              </w:rPr>
              <w:t>E</w:t>
            </w:r>
            <w:proofErr w:type="spellEnd"/>
            <w:r>
              <w:rPr>
                <w:vertAlign w:val="superscript"/>
              </w:rPr>
              <w:t xml:space="preserve"> </w:t>
            </w:r>
            <w:r w:rsidRPr="00354BAE">
              <w:t>(mg/kg)</w:t>
            </w:r>
          </w:p>
        </w:tc>
        <w:tc>
          <w:tcPr>
            <w:tcW w:w="709" w:type="dxa"/>
            <w:tcBorders>
              <w:top w:val="single" w:sz="4" w:space="0" w:color="auto"/>
              <w:bottom w:val="single" w:sz="4" w:space="0" w:color="auto"/>
            </w:tcBorders>
            <w:shd w:val="clear" w:color="auto" w:fill="BFBFBF" w:themeFill="background1" w:themeFillShade="BF"/>
          </w:tcPr>
          <w:p w:rsidR="007A40CE" w:rsidRPr="007E1303" w:rsidRDefault="007A40CE" w:rsidP="00D515D9">
            <w:pPr>
              <w:pStyle w:val="para"/>
              <w:tabs>
                <w:tab w:val="clear" w:pos="567"/>
                <w:tab w:val="clear" w:pos="1134"/>
                <w:tab w:val="clear" w:pos="1701"/>
              </w:tabs>
              <w:spacing w:before="0"/>
            </w:pPr>
            <w:r w:rsidRPr="007E1303">
              <w:t>r</w:t>
            </w:r>
            <w:r w:rsidRPr="00EB0026">
              <w:rPr>
                <w:vertAlign w:val="superscript"/>
              </w:rPr>
              <w:t>2</w:t>
            </w:r>
          </w:p>
        </w:tc>
      </w:tr>
      <w:tr w:rsidR="007A40CE" w:rsidRPr="007E1303" w:rsidTr="00D515D9">
        <w:tc>
          <w:tcPr>
            <w:tcW w:w="661"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P</w:t>
            </w:r>
          </w:p>
        </w:tc>
        <w:tc>
          <w:tcPr>
            <w:tcW w:w="850"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Wheat</w:t>
            </w:r>
          </w:p>
        </w:tc>
        <w:tc>
          <w:tcPr>
            <w:tcW w:w="1149"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Grey sands</w:t>
            </w:r>
          </w:p>
        </w:tc>
        <w:tc>
          <w:tcPr>
            <w:tcW w:w="850"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22</w:t>
            </w:r>
          </w:p>
        </w:tc>
        <w:tc>
          <w:tcPr>
            <w:tcW w:w="1008"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15</w:t>
            </w:r>
          </w:p>
        </w:tc>
        <w:tc>
          <w:tcPr>
            <w:tcW w:w="1276"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12-17</w:t>
            </w:r>
          </w:p>
        </w:tc>
        <w:tc>
          <w:tcPr>
            <w:tcW w:w="709" w:type="dxa"/>
            <w:tcBorders>
              <w:top w:val="single" w:sz="4" w:space="0" w:color="auto"/>
            </w:tcBorders>
          </w:tcPr>
          <w:p w:rsidR="007A40CE" w:rsidRPr="007E1303" w:rsidRDefault="007A40CE" w:rsidP="00D515D9">
            <w:pPr>
              <w:pStyle w:val="para"/>
              <w:tabs>
                <w:tab w:val="clear" w:pos="567"/>
                <w:tab w:val="clear" w:pos="1134"/>
                <w:tab w:val="clear" w:pos="1701"/>
              </w:tabs>
              <w:spacing w:before="0"/>
            </w:pPr>
            <w:r w:rsidRPr="007E1303">
              <w:t>0.63</w:t>
            </w:r>
          </w:p>
        </w:tc>
      </w:tr>
      <w:tr w:rsidR="007A40CE" w:rsidRPr="007E1303" w:rsidTr="00D515D9">
        <w:tc>
          <w:tcPr>
            <w:tcW w:w="661"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114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 xml:space="preserve">Other </w:t>
            </w:r>
            <w:proofErr w:type="spellStart"/>
            <w:r w:rsidRPr="007E1303">
              <w:t>soils</w:t>
            </w:r>
            <w:r>
              <w:rPr>
                <w:vertAlign w:val="superscript"/>
              </w:rPr>
              <w:t>B</w:t>
            </w:r>
            <w:proofErr w:type="spellEnd"/>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67</w:t>
            </w:r>
          </w:p>
        </w:tc>
        <w:tc>
          <w:tcPr>
            <w:tcW w:w="1008"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29</w:t>
            </w:r>
          </w:p>
        </w:tc>
        <w:tc>
          <w:tcPr>
            <w:tcW w:w="1276"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28-31</w:t>
            </w:r>
          </w:p>
        </w:tc>
        <w:tc>
          <w:tcPr>
            <w:tcW w:w="70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0.86</w:t>
            </w:r>
          </w:p>
        </w:tc>
      </w:tr>
      <w:tr w:rsidR="007A40CE" w:rsidRPr="007E1303" w:rsidTr="00D515D9">
        <w:tc>
          <w:tcPr>
            <w:tcW w:w="661" w:type="dxa"/>
          </w:tcPr>
          <w:p w:rsidR="007A40CE" w:rsidRPr="007E1303" w:rsidRDefault="007A40CE" w:rsidP="00D515D9">
            <w:pPr>
              <w:pStyle w:val="para"/>
              <w:tabs>
                <w:tab w:val="clear" w:pos="567"/>
                <w:tab w:val="clear" w:pos="1134"/>
                <w:tab w:val="clear" w:pos="1701"/>
              </w:tabs>
              <w:spacing w:before="0"/>
            </w:pPr>
          </w:p>
        </w:tc>
        <w:tc>
          <w:tcPr>
            <w:tcW w:w="850" w:type="dxa"/>
          </w:tcPr>
          <w:p w:rsidR="007A40CE" w:rsidRPr="007E1303" w:rsidRDefault="007A40CE" w:rsidP="00D515D9">
            <w:pPr>
              <w:pStyle w:val="para"/>
              <w:tabs>
                <w:tab w:val="clear" w:pos="567"/>
                <w:tab w:val="clear" w:pos="1134"/>
                <w:tab w:val="clear" w:pos="1701"/>
              </w:tabs>
              <w:spacing w:before="0"/>
            </w:pPr>
            <w:r w:rsidRPr="007E1303">
              <w:t>Canola</w:t>
            </w:r>
          </w:p>
        </w:tc>
        <w:tc>
          <w:tcPr>
            <w:tcW w:w="1149" w:type="dxa"/>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tcPr>
          <w:p w:rsidR="007A40CE" w:rsidRPr="007E1303" w:rsidRDefault="007A40CE" w:rsidP="00D515D9">
            <w:pPr>
              <w:pStyle w:val="para"/>
              <w:tabs>
                <w:tab w:val="clear" w:pos="567"/>
                <w:tab w:val="clear" w:pos="1134"/>
                <w:tab w:val="clear" w:pos="1701"/>
              </w:tabs>
              <w:spacing w:before="0"/>
            </w:pPr>
            <w:r w:rsidRPr="007E1303">
              <w:t>All</w:t>
            </w:r>
          </w:p>
        </w:tc>
        <w:tc>
          <w:tcPr>
            <w:tcW w:w="850" w:type="dxa"/>
          </w:tcPr>
          <w:p w:rsidR="007A40CE" w:rsidRPr="007E1303" w:rsidRDefault="007A40CE" w:rsidP="00D515D9">
            <w:pPr>
              <w:pStyle w:val="para"/>
              <w:tabs>
                <w:tab w:val="clear" w:pos="567"/>
                <w:tab w:val="clear" w:pos="1134"/>
                <w:tab w:val="clear" w:pos="1701"/>
              </w:tabs>
              <w:spacing w:before="0"/>
            </w:pPr>
            <w:r w:rsidRPr="007E1303">
              <w:t>31</w:t>
            </w:r>
          </w:p>
        </w:tc>
        <w:tc>
          <w:tcPr>
            <w:tcW w:w="1008" w:type="dxa"/>
          </w:tcPr>
          <w:p w:rsidR="007A40CE" w:rsidRPr="007E1303" w:rsidRDefault="007A40CE" w:rsidP="00D515D9">
            <w:pPr>
              <w:pStyle w:val="para"/>
              <w:tabs>
                <w:tab w:val="clear" w:pos="567"/>
                <w:tab w:val="clear" w:pos="1134"/>
                <w:tab w:val="clear" w:pos="1701"/>
              </w:tabs>
              <w:spacing w:before="0"/>
            </w:pPr>
            <w:r w:rsidRPr="007E1303">
              <w:t>20</w:t>
            </w:r>
          </w:p>
        </w:tc>
        <w:tc>
          <w:tcPr>
            <w:tcW w:w="1276" w:type="dxa"/>
          </w:tcPr>
          <w:p w:rsidR="007A40CE" w:rsidRPr="007E1303" w:rsidRDefault="007A40CE" w:rsidP="00D515D9">
            <w:pPr>
              <w:pStyle w:val="para"/>
              <w:tabs>
                <w:tab w:val="clear" w:pos="567"/>
                <w:tab w:val="clear" w:pos="1134"/>
                <w:tab w:val="clear" w:pos="1701"/>
              </w:tabs>
              <w:spacing w:before="0"/>
            </w:pPr>
            <w:r w:rsidRPr="007E1303">
              <w:t>17-25</w:t>
            </w:r>
          </w:p>
        </w:tc>
        <w:tc>
          <w:tcPr>
            <w:tcW w:w="709" w:type="dxa"/>
          </w:tcPr>
          <w:p w:rsidR="007A40CE" w:rsidRPr="007E1303" w:rsidRDefault="007A40CE" w:rsidP="00D515D9">
            <w:pPr>
              <w:pStyle w:val="para"/>
              <w:tabs>
                <w:tab w:val="clear" w:pos="567"/>
                <w:tab w:val="clear" w:pos="1134"/>
                <w:tab w:val="clear" w:pos="1701"/>
              </w:tabs>
              <w:spacing w:before="0"/>
            </w:pPr>
            <w:r w:rsidRPr="007E1303">
              <w:t>0.72</w:t>
            </w:r>
          </w:p>
        </w:tc>
      </w:tr>
      <w:tr w:rsidR="007A40CE" w:rsidRPr="007E1303" w:rsidTr="00D515D9">
        <w:tc>
          <w:tcPr>
            <w:tcW w:w="661"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Lupin</w:t>
            </w:r>
          </w:p>
        </w:tc>
        <w:tc>
          <w:tcPr>
            <w:tcW w:w="114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Grey sands</w:t>
            </w:r>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22</w:t>
            </w:r>
          </w:p>
        </w:tc>
        <w:tc>
          <w:tcPr>
            <w:tcW w:w="1008"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14</w:t>
            </w:r>
          </w:p>
        </w:tc>
        <w:tc>
          <w:tcPr>
            <w:tcW w:w="1276"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11-16</w:t>
            </w:r>
          </w:p>
        </w:tc>
        <w:tc>
          <w:tcPr>
            <w:tcW w:w="70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0.37</w:t>
            </w:r>
          </w:p>
        </w:tc>
      </w:tr>
      <w:tr w:rsidR="007A40CE" w:rsidRPr="007E1303" w:rsidTr="00D515D9">
        <w:tc>
          <w:tcPr>
            <w:tcW w:w="661" w:type="dxa"/>
          </w:tcPr>
          <w:p w:rsidR="007A40CE" w:rsidRPr="007E1303" w:rsidRDefault="007A40CE" w:rsidP="00D515D9">
            <w:pPr>
              <w:pStyle w:val="para"/>
              <w:tabs>
                <w:tab w:val="clear" w:pos="567"/>
                <w:tab w:val="clear" w:pos="1134"/>
                <w:tab w:val="clear" w:pos="1701"/>
              </w:tabs>
              <w:spacing w:before="0"/>
            </w:pPr>
          </w:p>
        </w:tc>
        <w:tc>
          <w:tcPr>
            <w:tcW w:w="850" w:type="dxa"/>
          </w:tcPr>
          <w:p w:rsidR="007A40CE" w:rsidRPr="007E1303" w:rsidRDefault="007A40CE" w:rsidP="00D515D9">
            <w:pPr>
              <w:pStyle w:val="para"/>
              <w:tabs>
                <w:tab w:val="clear" w:pos="567"/>
                <w:tab w:val="clear" w:pos="1134"/>
                <w:tab w:val="clear" w:pos="1701"/>
              </w:tabs>
              <w:spacing w:before="0"/>
            </w:pPr>
          </w:p>
        </w:tc>
        <w:tc>
          <w:tcPr>
            <w:tcW w:w="1149" w:type="dxa"/>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tcPr>
          <w:p w:rsidR="007A40CE" w:rsidRPr="007E1303" w:rsidRDefault="007A40CE" w:rsidP="00D515D9">
            <w:pPr>
              <w:pStyle w:val="para"/>
              <w:tabs>
                <w:tab w:val="clear" w:pos="567"/>
                <w:tab w:val="clear" w:pos="1134"/>
                <w:tab w:val="clear" w:pos="1701"/>
              </w:tabs>
              <w:spacing w:before="0"/>
            </w:pPr>
            <w:r w:rsidRPr="007E1303">
              <w:t xml:space="preserve">Yellow </w:t>
            </w:r>
            <w:proofErr w:type="spellStart"/>
            <w:r w:rsidRPr="007E1303">
              <w:t>sands</w:t>
            </w:r>
            <w:r>
              <w:rPr>
                <w:vertAlign w:val="superscript"/>
              </w:rPr>
              <w:t>C</w:t>
            </w:r>
            <w:proofErr w:type="spellEnd"/>
          </w:p>
        </w:tc>
        <w:tc>
          <w:tcPr>
            <w:tcW w:w="850" w:type="dxa"/>
          </w:tcPr>
          <w:p w:rsidR="007A40CE" w:rsidRPr="007E1303" w:rsidRDefault="007A40CE" w:rsidP="00D515D9">
            <w:pPr>
              <w:pStyle w:val="para"/>
              <w:tabs>
                <w:tab w:val="clear" w:pos="567"/>
                <w:tab w:val="clear" w:pos="1134"/>
                <w:tab w:val="clear" w:pos="1701"/>
              </w:tabs>
              <w:spacing w:before="0"/>
            </w:pPr>
            <w:r w:rsidRPr="007E1303">
              <w:t>46</w:t>
            </w:r>
          </w:p>
        </w:tc>
        <w:tc>
          <w:tcPr>
            <w:tcW w:w="1008" w:type="dxa"/>
          </w:tcPr>
          <w:p w:rsidR="007A40CE" w:rsidRPr="007E1303" w:rsidRDefault="007A40CE" w:rsidP="00D515D9">
            <w:pPr>
              <w:pStyle w:val="para"/>
              <w:tabs>
                <w:tab w:val="clear" w:pos="567"/>
                <w:tab w:val="clear" w:pos="1134"/>
                <w:tab w:val="clear" w:pos="1701"/>
              </w:tabs>
              <w:spacing w:before="0"/>
            </w:pPr>
            <w:r w:rsidRPr="007E1303">
              <w:t>24</w:t>
            </w:r>
          </w:p>
        </w:tc>
        <w:tc>
          <w:tcPr>
            <w:tcW w:w="1276" w:type="dxa"/>
          </w:tcPr>
          <w:p w:rsidR="007A40CE" w:rsidRPr="007E1303" w:rsidRDefault="007A40CE" w:rsidP="00D515D9">
            <w:pPr>
              <w:pStyle w:val="para"/>
              <w:tabs>
                <w:tab w:val="clear" w:pos="567"/>
                <w:tab w:val="clear" w:pos="1134"/>
                <w:tab w:val="clear" w:pos="1701"/>
              </w:tabs>
              <w:spacing w:before="0"/>
            </w:pPr>
            <w:r w:rsidRPr="007E1303">
              <w:t>18-30</w:t>
            </w:r>
          </w:p>
        </w:tc>
        <w:tc>
          <w:tcPr>
            <w:tcW w:w="709" w:type="dxa"/>
          </w:tcPr>
          <w:p w:rsidR="007A40CE" w:rsidRPr="007E1303" w:rsidRDefault="007A40CE" w:rsidP="00D515D9">
            <w:pPr>
              <w:pStyle w:val="para"/>
              <w:tabs>
                <w:tab w:val="clear" w:pos="567"/>
                <w:tab w:val="clear" w:pos="1134"/>
                <w:tab w:val="clear" w:pos="1701"/>
              </w:tabs>
              <w:spacing w:before="0"/>
            </w:pPr>
            <w:r w:rsidRPr="007E1303">
              <w:t>0.89</w:t>
            </w:r>
          </w:p>
        </w:tc>
      </w:tr>
      <w:tr w:rsidR="007A40CE" w:rsidRPr="007E1303" w:rsidTr="00D515D9">
        <w:tc>
          <w:tcPr>
            <w:tcW w:w="661"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K</w:t>
            </w:r>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Wheat</w:t>
            </w:r>
          </w:p>
        </w:tc>
        <w:tc>
          <w:tcPr>
            <w:tcW w:w="114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All</w:t>
            </w:r>
          </w:p>
        </w:tc>
        <w:tc>
          <w:tcPr>
            <w:tcW w:w="850"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139</w:t>
            </w:r>
          </w:p>
        </w:tc>
        <w:tc>
          <w:tcPr>
            <w:tcW w:w="1008"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 xml:space="preserve"> </w:t>
            </w:r>
            <w:proofErr w:type="spellStart"/>
            <w:r w:rsidRPr="0000395E">
              <w:rPr>
                <w:rFonts w:ascii="Arial" w:hAnsi="Arial" w:cs="Arial"/>
                <w:sz w:val="20"/>
                <w:szCs w:val="20"/>
              </w:rPr>
              <w:t>na</w:t>
            </w:r>
            <w:proofErr w:type="spellEnd"/>
          </w:p>
        </w:tc>
        <w:tc>
          <w:tcPr>
            <w:tcW w:w="1276"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 xml:space="preserve"> </w:t>
            </w:r>
            <w:proofErr w:type="spellStart"/>
            <w:r w:rsidRPr="0000395E">
              <w:rPr>
                <w:rFonts w:ascii="Arial" w:hAnsi="Arial" w:cs="Arial"/>
                <w:sz w:val="20"/>
                <w:szCs w:val="20"/>
              </w:rPr>
              <w:t>na</w:t>
            </w:r>
            <w:proofErr w:type="spellEnd"/>
          </w:p>
        </w:tc>
        <w:tc>
          <w:tcPr>
            <w:tcW w:w="709"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0.05</w:t>
            </w:r>
          </w:p>
        </w:tc>
      </w:tr>
      <w:tr w:rsidR="007A40CE" w:rsidRPr="007E1303" w:rsidTr="00D515D9">
        <w:tc>
          <w:tcPr>
            <w:tcW w:w="661" w:type="dxa"/>
          </w:tcPr>
          <w:p w:rsidR="007A40CE" w:rsidRPr="007E1303" w:rsidRDefault="007A40CE" w:rsidP="00D515D9">
            <w:pPr>
              <w:pStyle w:val="para"/>
              <w:tabs>
                <w:tab w:val="clear" w:pos="567"/>
                <w:tab w:val="clear" w:pos="1134"/>
                <w:tab w:val="clear" w:pos="1701"/>
              </w:tabs>
              <w:spacing w:before="0"/>
            </w:pPr>
          </w:p>
        </w:tc>
        <w:tc>
          <w:tcPr>
            <w:tcW w:w="850" w:type="dxa"/>
          </w:tcPr>
          <w:p w:rsidR="007A40CE" w:rsidRPr="007E1303" w:rsidRDefault="007A40CE" w:rsidP="00D515D9">
            <w:pPr>
              <w:pStyle w:val="para"/>
              <w:tabs>
                <w:tab w:val="clear" w:pos="567"/>
                <w:tab w:val="clear" w:pos="1134"/>
                <w:tab w:val="clear" w:pos="1701"/>
              </w:tabs>
              <w:spacing w:before="0"/>
            </w:pPr>
          </w:p>
        </w:tc>
        <w:tc>
          <w:tcPr>
            <w:tcW w:w="1149" w:type="dxa"/>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tcPr>
          <w:p w:rsidR="007A40CE" w:rsidRPr="007E1303" w:rsidRDefault="007A40CE" w:rsidP="00D515D9">
            <w:pPr>
              <w:pStyle w:val="para"/>
              <w:tabs>
                <w:tab w:val="clear" w:pos="567"/>
                <w:tab w:val="clear" w:pos="1134"/>
                <w:tab w:val="clear" w:pos="1701"/>
              </w:tabs>
              <w:spacing w:before="0"/>
            </w:pPr>
            <w:r w:rsidRPr="007E1303">
              <w:t>Grey sands</w:t>
            </w:r>
          </w:p>
        </w:tc>
        <w:tc>
          <w:tcPr>
            <w:tcW w:w="850" w:type="dxa"/>
          </w:tcPr>
          <w:p w:rsidR="007A40CE" w:rsidRPr="0000395E" w:rsidRDefault="007A40CE" w:rsidP="00D515D9">
            <w:pPr>
              <w:rPr>
                <w:rFonts w:ascii="Arial" w:hAnsi="Arial" w:cs="Arial"/>
                <w:sz w:val="20"/>
                <w:szCs w:val="20"/>
              </w:rPr>
            </w:pPr>
            <w:r w:rsidRPr="0000395E">
              <w:rPr>
                <w:rFonts w:ascii="Arial" w:hAnsi="Arial" w:cs="Arial"/>
                <w:sz w:val="20"/>
                <w:szCs w:val="20"/>
              </w:rPr>
              <w:t>13</w:t>
            </w:r>
          </w:p>
        </w:tc>
        <w:tc>
          <w:tcPr>
            <w:tcW w:w="1008" w:type="dxa"/>
          </w:tcPr>
          <w:p w:rsidR="007A40CE" w:rsidRPr="0000395E" w:rsidRDefault="007A40CE" w:rsidP="00D515D9">
            <w:pPr>
              <w:rPr>
                <w:rFonts w:ascii="Arial" w:hAnsi="Arial" w:cs="Arial"/>
                <w:sz w:val="20"/>
                <w:szCs w:val="20"/>
              </w:rPr>
            </w:pPr>
            <w:r w:rsidRPr="0000395E">
              <w:rPr>
                <w:rFonts w:ascii="Arial" w:hAnsi="Arial" w:cs="Arial"/>
                <w:sz w:val="20"/>
                <w:szCs w:val="20"/>
              </w:rPr>
              <w:t>32</w:t>
            </w:r>
          </w:p>
        </w:tc>
        <w:tc>
          <w:tcPr>
            <w:tcW w:w="1276" w:type="dxa"/>
          </w:tcPr>
          <w:p w:rsidR="007A40CE" w:rsidRPr="0000395E" w:rsidRDefault="007A40CE" w:rsidP="00D515D9">
            <w:pPr>
              <w:rPr>
                <w:rFonts w:ascii="Arial" w:hAnsi="Arial" w:cs="Arial"/>
                <w:sz w:val="20"/>
                <w:szCs w:val="20"/>
              </w:rPr>
            </w:pPr>
            <w:r w:rsidRPr="0000395E">
              <w:rPr>
                <w:rFonts w:ascii="Arial" w:hAnsi="Arial" w:cs="Arial"/>
                <w:sz w:val="20"/>
                <w:szCs w:val="20"/>
              </w:rPr>
              <w:t>17-47</w:t>
            </w:r>
          </w:p>
        </w:tc>
        <w:tc>
          <w:tcPr>
            <w:tcW w:w="709" w:type="dxa"/>
          </w:tcPr>
          <w:p w:rsidR="007A40CE" w:rsidRPr="0000395E" w:rsidRDefault="007A40CE" w:rsidP="00D515D9">
            <w:pPr>
              <w:rPr>
                <w:rFonts w:ascii="Arial" w:hAnsi="Arial" w:cs="Arial"/>
                <w:sz w:val="20"/>
                <w:szCs w:val="20"/>
              </w:rPr>
            </w:pPr>
            <w:r w:rsidRPr="0000395E">
              <w:rPr>
                <w:rFonts w:ascii="Arial" w:hAnsi="Arial" w:cs="Arial"/>
                <w:sz w:val="20"/>
                <w:szCs w:val="20"/>
              </w:rPr>
              <w:t>0.43</w:t>
            </w:r>
          </w:p>
        </w:tc>
      </w:tr>
      <w:tr w:rsidR="007A40CE" w:rsidRPr="007E1303" w:rsidTr="00D515D9">
        <w:tc>
          <w:tcPr>
            <w:tcW w:w="661"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114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shd w:val="clear" w:color="auto" w:fill="D9D9D9" w:themeFill="background1" w:themeFillShade="D9"/>
          </w:tcPr>
          <w:p w:rsidR="007A40CE" w:rsidRPr="0000395E" w:rsidRDefault="007A40CE" w:rsidP="00D515D9">
            <w:pPr>
              <w:pStyle w:val="para"/>
              <w:tabs>
                <w:tab w:val="clear" w:pos="567"/>
                <w:tab w:val="clear" w:pos="1134"/>
                <w:tab w:val="clear" w:pos="1701"/>
              </w:tabs>
              <w:spacing w:before="0"/>
            </w:pPr>
            <w:r w:rsidRPr="0000395E">
              <w:t>Yellow sands, gravels, loams</w:t>
            </w:r>
          </w:p>
        </w:tc>
        <w:tc>
          <w:tcPr>
            <w:tcW w:w="850"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76</w:t>
            </w:r>
          </w:p>
        </w:tc>
        <w:tc>
          <w:tcPr>
            <w:tcW w:w="1008"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59</w:t>
            </w:r>
          </w:p>
        </w:tc>
        <w:tc>
          <w:tcPr>
            <w:tcW w:w="1276"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44-74</w:t>
            </w:r>
          </w:p>
        </w:tc>
        <w:tc>
          <w:tcPr>
            <w:tcW w:w="709" w:type="dxa"/>
            <w:shd w:val="clear" w:color="auto" w:fill="D9D9D9" w:themeFill="background1" w:themeFillShade="D9"/>
          </w:tcPr>
          <w:p w:rsidR="007A40CE" w:rsidRPr="0000395E" w:rsidRDefault="007A40CE" w:rsidP="00D515D9">
            <w:pPr>
              <w:rPr>
                <w:rFonts w:ascii="Arial" w:hAnsi="Arial" w:cs="Arial"/>
                <w:sz w:val="20"/>
                <w:szCs w:val="20"/>
              </w:rPr>
            </w:pPr>
            <w:r w:rsidRPr="0000395E">
              <w:rPr>
                <w:rFonts w:ascii="Arial" w:hAnsi="Arial" w:cs="Arial"/>
                <w:sz w:val="20"/>
                <w:szCs w:val="20"/>
              </w:rPr>
              <w:t>0.50</w:t>
            </w:r>
          </w:p>
        </w:tc>
      </w:tr>
      <w:tr w:rsidR="007A40CE" w:rsidRPr="007E1303" w:rsidTr="00D515D9">
        <w:tc>
          <w:tcPr>
            <w:tcW w:w="661" w:type="dxa"/>
          </w:tcPr>
          <w:p w:rsidR="007A40CE" w:rsidRPr="007E1303" w:rsidRDefault="007A40CE" w:rsidP="00D515D9">
            <w:pPr>
              <w:pStyle w:val="para"/>
              <w:tabs>
                <w:tab w:val="clear" w:pos="567"/>
                <w:tab w:val="clear" w:pos="1134"/>
                <w:tab w:val="clear" w:pos="1701"/>
              </w:tabs>
              <w:spacing w:before="0"/>
            </w:pPr>
          </w:p>
        </w:tc>
        <w:tc>
          <w:tcPr>
            <w:tcW w:w="850" w:type="dxa"/>
          </w:tcPr>
          <w:p w:rsidR="007A40CE" w:rsidRPr="007E1303" w:rsidRDefault="007A40CE" w:rsidP="00D515D9">
            <w:pPr>
              <w:pStyle w:val="para"/>
              <w:tabs>
                <w:tab w:val="clear" w:pos="567"/>
                <w:tab w:val="clear" w:pos="1134"/>
                <w:tab w:val="clear" w:pos="1701"/>
              </w:tabs>
              <w:spacing w:before="0"/>
            </w:pPr>
          </w:p>
        </w:tc>
        <w:tc>
          <w:tcPr>
            <w:tcW w:w="1149" w:type="dxa"/>
          </w:tcPr>
          <w:p w:rsidR="007A40CE" w:rsidRPr="007E1303" w:rsidRDefault="007A40CE" w:rsidP="00D515D9">
            <w:pPr>
              <w:pStyle w:val="para"/>
              <w:tabs>
                <w:tab w:val="clear" w:pos="567"/>
                <w:tab w:val="clear" w:pos="1134"/>
                <w:tab w:val="clear" w:pos="1701"/>
              </w:tabs>
              <w:spacing w:before="0"/>
            </w:pPr>
            <w:r w:rsidRPr="007E1303">
              <w:t>0-10 cm</w:t>
            </w:r>
          </w:p>
        </w:tc>
        <w:tc>
          <w:tcPr>
            <w:tcW w:w="2835" w:type="dxa"/>
          </w:tcPr>
          <w:p w:rsidR="007A40CE" w:rsidRPr="007E1303" w:rsidRDefault="007A40CE" w:rsidP="00D515D9">
            <w:pPr>
              <w:pStyle w:val="para"/>
              <w:tabs>
                <w:tab w:val="clear" w:pos="567"/>
                <w:tab w:val="clear" w:pos="1134"/>
                <w:tab w:val="clear" w:pos="1701"/>
              </w:tabs>
              <w:spacing w:before="0"/>
            </w:pPr>
            <w:r w:rsidRPr="007E1303">
              <w:t>Duplex</w:t>
            </w:r>
          </w:p>
        </w:tc>
        <w:tc>
          <w:tcPr>
            <w:tcW w:w="850" w:type="dxa"/>
          </w:tcPr>
          <w:p w:rsidR="007A40CE" w:rsidRPr="0000395E" w:rsidRDefault="007A40CE" w:rsidP="00D515D9">
            <w:pPr>
              <w:rPr>
                <w:rFonts w:ascii="Arial" w:hAnsi="Arial" w:cs="Arial"/>
                <w:sz w:val="20"/>
                <w:szCs w:val="20"/>
              </w:rPr>
            </w:pPr>
            <w:r w:rsidRPr="0000395E">
              <w:rPr>
                <w:rFonts w:ascii="Arial" w:hAnsi="Arial" w:cs="Arial"/>
                <w:sz w:val="20"/>
                <w:szCs w:val="20"/>
              </w:rPr>
              <w:t>48</w:t>
            </w:r>
          </w:p>
        </w:tc>
        <w:tc>
          <w:tcPr>
            <w:tcW w:w="1008" w:type="dxa"/>
          </w:tcPr>
          <w:p w:rsidR="007A40CE" w:rsidRPr="0000395E" w:rsidRDefault="007A40CE" w:rsidP="00D515D9">
            <w:pPr>
              <w:rPr>
                <w:rFonts w:ascii="Arial" w:hAnsi="Arial" w:cs="Arial"/>
                <w:sz w:val="20"/>
                <w:szCs w:val="20"/>
              </w:rPr>
            </w:pPr>
            <w:r w:rsidRPr="0000395E">
              <w:rPr>
                <w:rFonts w:ascii="Arial" w:hAnsi="Arial" w:cs="Arial"/>
                <w:sz w:val="20"/>
                <w:szCs w:val="20"/>
              </w:rPr>
              <w:t>53</w:t>
            </w:r>
          </w:p>
        </w:tc>
        <w:tc>
          <w:tcPr>
            <w:tcW w:w="1276" w:type="dxa"/>
          </w:tcPr>
          <w:p w:rsidR="007A40CE" w:rsidRPr="0000395E" w:rsidRDefault="007A40CE" w:rsidP="00D515D9">
            <w:pPr>
              <w:rPr>
                <w:rFonts w:ascii="Arial" w:hAnsi="Arial" w:cs="Arial"/>
                <w:sz w:val="20"/>
                <w:szCs w:val="20"/>
              </w:rPr>
            </w:pPr>
            <w:r w:rsidRPr="0000395E">
              <w:rPr>
                <w:rFonts w:ascii="Arial" w:hAnsi="Arial" w:cs="Arial"/>
                <w:sz w:val="20"/>
                <w:szCs w:val="20"/>
              </w:rPr>
              <w:t>43-63</w:t>
            </w:r>
          </w:p>
        </w:tc>
        <w:tc>
          <w:tcPr>
            <w:tcW w:w="709" w:type="dxa"/>
          </w:tcPr>
          <w:p w:rsidR="007A40CE" w:rsidRPr="0000395E" w:rsidRDefault="007A40CE" w:rsidP="00D515D9">
            <w:pPr>
              <w:rPr>
                <w:rFonts w:ascii="Arial" w:hAnsi="Arial" w:cs="Arial"/>
                <w:sz w:val="20"/>
                <w:szCs w:val="20"/>
              </w:rPr>
            </w:pPr>
            <w:r w:rsidRPr="0000395E">
              <w:rPr>
                <w:rFonts w:ascii="Arial" w:hAnsi="Arial" w:cs="Arial"/>
                <w:sz w:val="20"/>
                <w:szCs w:val="20"/>
              </w:rPr>
              <w:t>0.25</w:t>
            </w:r>
          </w:p>
        </w:tc>
      </w:tr>
      <w:tr w:rsidR="007A40CE" w:rsidRPr="007E1303" w:rsidTr="00D515D9">
        <w:tc>
          <w:tcPr>
            <w:tcW w:w="661"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p>
        </w:tc>
        <w:tc>
          <w:tcPr>
            <w:tcW w:w="1149"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0-30 cm</w:t>
            </w:r>
          </w:p>
        </w:tc>
        <w:tc>
          <w:tcPr>
            <w:tcW w:w="2835" w:type="dxa"/>
            <w:shd w:val="clear" w:color="auto" w:fill="D9D9D9" w:themeFill="background1" w:themeFillShade="D9"/>
          </w:tcPr>
          <w:p w:rsidR="007A40CE" w:rsidRPr="007E1303" w:rsidRDefault="007A40CE" w:rsidP="00D515D9">
            <w:pPr>
              <w:pStyle w:val="para"/>
              <w:tabs>
                <w:tab w:val="clear" w:pos="567"/>
                <w:tab w:val="clear" w:pos="1134"/>
                <w:tab w:val="clear" w:pos="1701"/>
              </w:tabs>
              <w:spacing w:before="0"/>
            </w:pPr>
            <w:r w:rsidRPr="007E1303">
              <w:t>All</w:t>
            </w:r>
          </w:p>
        </w:tc>
        <w:tc>
          <w:tcPr>
            <w:tcW w:w="850" w:type="dxa"/>
            <w:shd w:val="clear" w:color="auto" w:fill="D9D9D9" w:themeFill="background1" w:themeFillShade="D9"/>
          </w:tcPr>
          <w:p w:rsidR="007A40CE" w:rsidRPr="0000395E" w:rsidRDefault="007A40CE" w:rsidP="00D515D9">
            <w:pPr>
              <w:pStyle w:val="NoSpacing"/>
              <w:rPr>
                <w:sz w:val="20"/>
                <w:szCs w:val="20"/>
              </w:rPr>
            </w:pPr>
            <w:r w:rsidRPr="0000395E">
              <w:rPr>
                <w:sz w:val="20"/>
                <w:szCs w:val="20"/>
              </w:rPr>
              <w:t>108</w:t>
            </w:r>
          </w:p>
        </w:tc>
        <w:tc>
          <w:tcPr>
            <w:tcW w:w="1008" w:type="dxa"/>
            <w:shd w:val="clear" w:color="auto" w:fill="D9D9D9" w:themeFill="background1" w:themeFillShade="D9"/>
            <w:vAlign w:val="bottom"/>
          </w:tcPr>
          <w:p w:rsidR="007A40CE" w:rsidRPr="0000395E" w:rsidRDefault="007A40CE" w:rsidP="00D515D9">
            <w:pPr>
              <w:pStyle w:val="NoSpacing"/>
              <w:rPr>
                <w:sz w:val="20"/>
                <w:szCs w:val="20"/>
              </w:rPr>
            </w:pPr>
            <w:proofErr w:type="spellStart"/>
            <w:r w:rsidRPr="0000395E">
              <w:rPr>
                <w:sz w:val="20"/>
                <w:szCs w:val="20"/>
              </w:rPr>
              <w:t>na</w:t>
            </w:r>
            <w:proofErr w:type="spellEnd"/>
          </w:p>
        </w:tc>
        <w:tc>
          <w:tcPr>
            <w:tcW w:w="1276" w:type="dxa"/>
            <w:shd w:val="clear" w:color="auto" w:fill="D9D9D9" w:themeFill="background1" w:themeFillShade="D9"/>
          </w:tcPr>
          <w:p w:rsidR="007A40CE" w:rsidRPr="0000395E" w:rsidRDefault="007A40CE" w:rsidP="00D515D9">
            <w:pPr>
              <w:pStyle w:val="NoSpacing"/>
              <w:rPr>
                <w:sz w:val="20"/>
                <w:szCs w:val="20"/>
              </w:rPr>
            </w:pPr>
            <w:proofErr w:type="spellStart"/>
            <w:r w:rsidRPr="0000395E">
              <w:rPr>
                <w:sz w:val="20"/>
                <w:szCs w:val="20"/>
              </w:rPr>
              <w:t>na</w:t>
            </w:r>
            <w:proofErr w:type="spellEnd"/>
          </w:p>
        </w:tc>
        <w:tc>
          <w:tcPr>
            <w:tcW w:w="709" w:type="dxa"/>
            <w:shd w:val="clear" w:color="auto" w:fill="D9D9D9" w:themeFill="background1" w:themeFillShade="D9"/>
          </w:tcPr>
          <w:p w:rsidR="007A40CE" w:rsidRPr="0000395E" w:rsidRDefault="007A40CE" w:rsidP="00D515D9">
            <w:pPr>
              <w:pStyle w:val="NoSpacing"/>
              <w:rPr>
                <w:sz w:val="20"/>
                <w:szCs w:val="20"/>
              </w:rPr>
            </w:pPr>
            <w:r w:rsidRPr="0000395E">
              <w:rPr>
                <w:sz w:val="20"/>
                <w:szCs w:val="20"/>
              </w:rPr>
              <w:t>0.19</w:t>
            </w:r>
          </w:p>
        </w:tc>
      </w:tr>
      <w:tr w:rsidR="007A40CE" w:rsidRPr="007E1303" w:rsidTr="00D515D9">
        <w:tc>
          <w:tcPr>
            <w:tcW w:w="661" w:type="dxa"/>
            <w:shd w:val="clear" w:color="auto" w:fill="auto"/>
          </w:tcPr>
          <w:p w:rsidR="007A40CE" w:rsidRPr="003345A9" w:rsidRDefault="007A40CE" w:rsidP="00D515D9">
            <w:pPr>
              <w:pStyle w:val="para"/>
              <w:tabs>
                <w:tab w:val="clear" w:pos="567"/>
                <w:tab w:val="clear" w:pos="1134"/>
                <w:tab w:val="clear" w:pos="1701"/>
              </w:tabs>
              <w:spacing w:before="0"/>
            </w:pP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p>
        </w:tc>
        <w:tc>
          <w:tcPr>
            <w:tcW w:w="1149" w:type="dxa"/>
            <w:shd w:val="clear" w:color="auto" w:fill="auto"/>
          </w:tcPr>
          <w:p w:rsidR="007A40CE" w:rsidRPr="003345A9" w:rsidRDefault="007A40CE" w:rsidP="00D515D9">
            <w:pPr>
              <w:pStyle w:val="para"/>
              <w:tabs>
                <w:tab w:val="clear" w:pos="567"/>
                <w:tab w:val="clear" w:pos="1134"/>
                <w:tab w:val="clear" w:pos="1701"/>
              </w:tabs>
              <w:spacing w:before="0"/>
            </w:pPr>
            <w:r w:rsidRPr="003345A9">
              <w:t xml:space="preserve">0-30 </w:t>
            </w:r>
            <w:proofErr w:type="spellStart"/>
            <w:r w:rsidRPr="003345A9">
              <w:t>cm</w:t>
            </w:r>
            <w:r w:rsidRPr="003345A9">
              <w:rPr>
                <w:vertAlign w:val="superscript"/>
              </w:rPr>
              <w:t>A</w:t>
            </w:r>
            <w:proofErr w:type="spellEnd"/>
          </w:p>
        </w:tc>
        <w:tc>
          <w:tcPr>
            <w:tcW w:w="2835" w:type="dxa"/>
            <w:shd w:val="clear" w:color="auto" w:fill="auto"/>
          </w:tcPr>
          <w:p w:rsidR="007A40CE" w:rsidRPr="003345A9" w:rsidRDefault="007A40CE" w:rsidP="00D515D9">
            <w:pPr>
              <w:pStyle w:val="para"/>
              <w:tabs>
                <w:tab w:val="clear" w:pos="567"/>
                <w:tab w:val="clear" w:pos="1134"/>
                <w:tab w:val="clear" w:pos="1701"/>
              </w:tabs>
              <w:spacing w:before="0"/>
            </w:pPr>
            <w:r w:rsidRPr="003345A9">
              <w:t>Yellow sands, Duplex</w:t>
            </w: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r w:rsidRPr="003345A9">
              <w:t>33</w:t>
            </w:r>
          </w:p>
        </w:tc>
        <w:tc>
          <w:tcPr>
            <w:tcW w:w="1008" w:type="dxa"/>
            <w:shd w:val="clear" w:color="auto" w:fill="auto"/>
          </w:tcPr>
          <w:p w:rsidR="007A40CE" w:rsidRPr="003345A9" w:rsidRDefault="007A40CE" w:rsidP="00D515D9">
            <w:pPr>
              <w:pStyle w:val="para"/>
              <w:tabs>
                <w:tab w:val="clear" w:pos="567"/>
                <w:tab w:val="clear" w:pos="1134"/>
                <w:tab w:val="clear" w:pos="1701"/>
              </w:tabs>
              <w:spacing w:before="0"/>
            </w:pPr>
            <w:r w:rsidRPr="003345A9">
              <w:t>32</w:t>
            </w:r>
          </w:p>
        </w:tc>
        <w:tc>
          <w:tcPr>
            <w:tcW w:w="1276" w:type="dxa"/>
            <w:shd w:val="clear" w:color="auto" w:fill="auto"/>
          </w:tcPr>
          <w:p w:rsidR="007A40CE" w:rsidRPr="003345A9" w:rsidRDefault="007A40CE" w:rsidP="00D515D9">
            <w:pPr>
              <w:pStyle w:val="para"/>
              <w:tabs>
                <w:tab w:val="clear" w:pos="567"/>
                <w:tab w:val="clear" w:pos="1134"/>
                <w:tab w:val="clear" w:pos="1701"/>
              </w:tabs>
              <w:spacing w:before="0"/>
            </w:pPr>
            <w:r w:rsidRPr="003345A9">
              <w:t>29-35</w:t>
            </w:r>
          </w:p>
        </w:tc>
        <w:tc>
          <w:tcPr>
            <w:tcW w:w="709" w:type="dxa"/>
            <w:shd w:val="clear" w:color="auto" w:fill="auto"/>
          </w:tcPr>
          <w:p w:rsidR="007A40CE" w:rsidRPr="003345A9" w:rsidRDefault="007A40CE" w:rsidP="00D515D9">
            <w:pPr>
              <w:pStyle w:val="para"/>
              <w:tabs>
                <w:tab w:val="clear" w:pos="567"/>
                <w:tab w:val="clear" w:pos="1134"/>
                <w:tab w:val="clear" w:pos="1701"/>
              </w:tabs>
              <w:spacing w:before="0"/>
            </w:pPr>
            <w:r w:rsidRPr="003345A9">
              <w:t>0.57</w:t>
            </w:r>
          </w:p>
        </w:tc>
      </w:tr>
      <w:tr w:rsidR="007A40CE" w:rsidRPr="007E1303" w:rsidTr="00D515D9">
        <w:tc>
          <w:tcPr>
            <w:tcW w:w="661"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Canola</w:t>
            </w:r>
          </w:p>
        </w:tc>
        <w:tc>
          <w:tcPr>
            <w:tcW w:w="1149"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0-10 cm</w:t>
            </w:r>
          </w:p>
        </w:tc>
        <w:tc>
          <w:tcPr>
            <w:tcW w:w="2835"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All</w:t>
            </w:r>
          </w:p>
        </w:tc>
        <w:tc>
          <w:tcPr>
            <w:tcW w:w="850"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130</w:t>
            </w:r>
          </w:p>
        </w:tc>
        <w:tc>
          <w:tcPr>
            <w:tcW w:w="1008"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57</w:t>
            </w:r>
          </w:p>
        </w:tc>
        <w:tc>
          <w:tcPr>
            <w:tcW w:w="1276"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53-61</w:t>
            </w:r>
          </w:p>
        </w:tc>
        <w:tc>
          <w:tcPr>
            <w:tcW w:w="709"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0.66</w:t>
            </w:r>
          </w:p>
        </w:tc>
      </w:tr>
      <w:tr w:rsidR="007A40CE" w:rsidRPr="007E1303" w:rsidTr="00D515D9">
        <w:tc>
          <w:tcPr>
            <w:tcW w:w="661" w:type="dxa"/>
            <w:shd w:val="clear" w:color="auto" w:fill="auto"/>
          </w:tcPr>
          <w:p w:rsidR="007A40CE" w:rsidRPr="003345A9" w:rsidRDefault="007A40CE" w:rsidP="00D515D9">
            <w:pPr>
              <w:pStyle w:val="para"/>
              <w:tabs>
                <w:tab w:val="clear" w:pos="567"/>
                <w:tab w:val="clear" w:pos="1134"/>
                <w:tab w:val="clear" w:pos="1701"/>
              </w:tabs>
              <w:spacing w:before="0"/>
            </w:pP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p>
        </w:tc>
        <w:tc>
          <w:tcPr>
            <w:tcW w:w="1149" w:type="dxa"/>
            <w:shd w:val="clear" w:color="auto" w:fill="auto"/>
          </w:tcPr>
          <w:p w:rsidR="007A40CE" w:rsidRPr="003345A9" w:rsidRDefault="007A40CE" w:rsidP="00D515D9">
            <w:pPr>
              <w:pStyle w:val="para"/>
              <w:tabs>
                <w:tab w:val="clear" w:pos="567"/>
                <w:tab w:val="clear" w:pos="1134"/>
                <w:tab w:val="clear" w:pos="1701"/>
              </w:tabs>
              <w:spacing w:before="0"/>
            </w:pPr>
            <w:r w:rsidRPr="003345A9">
              <w:t>0-30 cm</w:t>
            </w:r>
          </w:p>
        </w:tc>
        <w:tc>
          <w:tcPr>
            <w:tcW w:w="2835" w:type="dxa"/>
            <w:shd w:val="clear" w:color="auto" w:fill="auto"/>
          </w:tcPr>
          <w:p w:rsidR="007A40CE" w:rsidRPr="003345A9" w:rsidRDefault="007A40CE" w:rsidP="00D515D9">
            <w:pPr>
              <w:pStyle w:val="para"/>
              <w:tabs>
                <w:tab w:val="clear" w:pos="567"/>
                <w:tab w:val="clear" w:pos="1134"/>
                <w:tab w:val="clear" w:pos="1701"/>
              </w:tabs>
              <w:spacing w:before="0"/>
            </w:pPr>
            <w:r w:rsidRPr="003345A9">
              <w:t>All</w:t>
            </w:r>
          </w:p>
        </w:tc>
        <w:tc>
          <w:tcPr>
            <w:tcW w:w="850" w:type="dxa"/>
            <w:shd w:val="clear" w:color="auto" w:fill="auto"/>
          </w:tcPr>
          <w:p w:rsidR="007A40CE" w:rsidRPr="003345A9" w:rsidRDefault="007A40CE" w:rsidP="00D515D9">
            <w:pPr>
              <w:rPr>
                <w:rFonts w:ascii="Arial" w:hAnsi="Arial" w:cs="Arial"/>
                <w:sz w:val="20"/>
                <w:szCs w:val="20"/>
              </w:rPr>
            </w:pPr>
            <w:r w:rsidRPr="003345A9">
              <w:rPr>
                <w:rFonts w:ascii="Arial" w:hAnsi="Arial" w:cs="Arial"/>
                <w:sz w:val="20"/>
                <w:szCs w:val="20"/>
              </w:rPr>
              <w:t>100</w:t>
            </w:r>
          </w:p>
        </w:tc>
        <w:tc>
          <w:tcPr>
            <w:tcW w:w="1008" w:type="dxa"/>
            <w:shd w:val="clear" w:color="auto" w:fill="auto"/>
          </w:tcPr>
          <w:p w:rsidR="007A40CE" w:rsidRPr="003345A9" w:rsidRDefault="007A40CE" w:rsidP="00D515D9">
            <w:pPr>
              <w:rPr>
                <w:rFonts w:ascii="Arial" w:hAnsi="Arial" w:cs="Arial"/>
                <w:sz w:val="20"/>
                <w:szCs w:val="20"/>
              </w:rPr>
            </w:pPr>
            <w:r w:rsidRPr="003345A9">
              <w:rPr>
                <w:rFonts w:ascii="Arial" w:hAnsi="Arial" w:cs="Arial"/>
                <w:sz w:val="20"/>
                <w:szCs w:val="20"/>
              </w:rPr>
              <w:t>39</w:t>
            </w:r>
          </w:p>
        </w:tc>
        <w:tc>
          <w:tcPr>
            <w:tcW w:w="1276" w:type="dxa"/>
            <w:shd w:val="clear" w:color="auto" w:fill="auto"/>
          </w:tcPr>
          <w:p w:rsidR="007A40CE" w:rsidRPr="003345A9" w:rsidRDefault="007A40CE" w:rsidP="00D515D9">
            <w:pPr>
              <w:rPr>
                <w:rFonts w:ascii="Arial" w:hAnsi="Arial" w:cs="Arial"/>
                <w:sz w:val="20"/>
                <w:szCs w:val="20"/>
              </w:rPr>
            </w:pPr>
            <w:r w:rsidRPr="003345A9">
              <w:rPr>
                <w:rFonts w:ascii="Arial" w:hAnsi="Arial" w:cs="Arial"/>
                <w:sz w:val="20"/>
                <w:szCs w:val="20"/>
              </w:rPr>
              <w:t>37-41</w:t>
            </w:r>
          </w:p>
        </w:tc>
        <w:tc>
          <w:tcPr>
            <w:tcW w:w="709" w:type="dxa"/>
            <w:shd w:val="clear" w:color="auto" w:fill="auto"/>
          </w:tcPr>
          <w:p w:rsidR="007A40CE" w:rsidRPr="003345A9" w:rsidRDefault="007A40CE" w:rsidP="00D515D9">
            <w:pPr>
              <w:rPr>
                <w:rFonts w:ascii="Arial" w:hAnsi="Arial" w:cs="Arial"/>
                <w:sz w:val="20"/>
                <w:szCs w:val="20"/>
              </w:rPr>
            </w:pPr>
            <w:r w:rsidRPr="003345A9">
              <w:rPr>
                <w:rFonts w:ascii="Arial" w:hAnsi="Arial" w:cs="Arial"/>
                <w:sz w:val="20"/>
                <w:szCs w:val="20"/>
              </w:rPr>
              <w:t>0.81</w:t>
            </w:r>
          </w:p>
        </w:tc>
      </w:tr>
      <w:tr w:rsidR="007A40CE" w:rsidRPr="00984414" w:rsidTr="00D515D9">
        <w:tc>
          <w:tcPr>
            <w:tcW w:w="661"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
        </w:tc>
        <w:tc>
          <w:tcPr>
            <w:tcW w:w="1149"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 xml:space="preserve">0-30 </w:t>
            </w:r>
            <w:proofErr w:type="spellStart"/>
            <w:r w:rsidRPr="003345A9">
              <w:rPr>
                <w:rFonts w:ascii="Arial" w:hAnsi="Arial" w:cs="Arial"/>
                <w:sz w:val="20"/>
                <w:szCs w:val="20"/>
              </w:rPr>
              <w:t>cm</w:t>
            </w:r>
            <w:r w:rsidRPr="003345A9">
              <w:rPr>
                <w:rFonts w:ascii="Arial" w:hAnsi="Arial" w:cs="Arial"/>
                <w:sz w:val="20"/>
                <w:szCs w:val="20"/>
                <w:vertAlign w:val="superscript"/>
              </w:rPr>
              <w:t>A</w:t>
            </w:r>
            <w:proofErr w:type="spellEnd"/>
          </w:p>
        </w:tc>
        <w:tc>
          <w:tcPr>
            <w:tcW w:w="2835"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All</w:t>
            </w:r>
          </w:p>
        </w:tc>
        <w:tc>
          <w:tcPr>
            <w:tcW w:w="850"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127</w:t>
            </w:r>
          </w:p>
        </w:tc>
        <w:tc>
          <w:tcPr>
            <w:tcW w:w="1008"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40</w:t>
            </w:r>
          </w:p>
        </w:tc>
        <w:tc>
          <w:tcPr>
            <w:tcW w:w="1276"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36-44</w:t>
            </w:r>
          </w:p>
        </w:tc>
        <w:tc>
          <w:tcPr>
            <w:tcW w:w="709" w:type="dxa"/>
            <w:shd w:val="clear" w:color="auto" w:fill="D9D9D9" w:themeFill="background1" w:themeFillShade="D9"/>
          </w:tcPr>
          <w:p w:rsidR="007A40CE" w:rsidRPr="003345A9" w:rsidRDefault="007A40CE" w:rsidP="00D515D9">
            <w:pPr>
              <w:rPr>
                <w:rFonts w:ascii="Arial" w:hAnsi="Arial" w:cs="Arial"/>
                <w:sz w:val="20"/>
                <w:szCs w:val="20"/>
              </w:rPr>
            </w:pPr>
            <w:r w:rsidRPr="003345A9">
              <w:rPr>
                <w:rFonts w:ascii="Arial" w:hAnsi="Arial" w:cs="Arial"/>
                <w:sz w:val="20"/>
                <w:szCs w:val="20"/>
              </w:rPr>
              <w:t>0.72</w:t>
            </w:r>
          </w:p>
        </w:tc>
      </w:tr>
      <w:tr w:rsidR="007A40CE" w:rsidRPr="007E1303" w:rsidTr="00D515D9">
        <w:tc>
          <w:tcPr>
            <w:tcW w:w="661" w:type="dxa"/>
            <w:shd w:val="clear" w:color="auto" w:fill="auto"/>
          </w:tcPr>
          <w:p w:rsidR="007A40CE" w:rsidRPr="003345A9" w:rsidRDefault="007A40CE" w:rsidP="00D515D9">
            <w:pPr>
              <w:pStyle w:val="para"/>
              <w:tabs>
                <w:tab w:val="clear" w:pos="567"/>
                <w:tab w:val="clear" w:pos="1134"/>
                <w:tab w:val="clear" w:pos="1701"/>
              </w:tabs>
              <w:spacing w:before="0"/>
            </w:pP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r w:rsidRPr="003345A9">
              <w:t>Lupin</w:t>
            </w:r>
          </w:p>
        </w:tc>
        <w:tc>
          <w:tcPr>
            <w:tcW w:w="1149" w:type="dxa"/>
            <w:shd w:val="clear" w:color="auto" w:fill="auto"/>
          </w:tcPr>
          <w:p w:rsidR="007A40CE" w:rsidRPr="003345A9" w:rsidRDefault="007A40CE" w:rsidP="00D515D9">
            <w:pPr>
              <w:pStyle w:val="para"/>
              <w:tabs>
                <w:tab w:val="clear" w:pos="567"/>
                <w:tab w:val="clear" w:pos="1134"/>
                <w:tab w:val="clear" w:pos="1701"/>
              </w:tabs>
              <w:spacing w:before="0"/>
            </w:pPr>
            <w:r w:rsidRPr="003345A9">
              <w:t>0-10 cm</w:t>
            </w:r>
          </w:p>
        </w:tc>
        <w:tc>
          <w:tcPr>
            <w:tcW w:w="2835" w:type="dxa"/>
            <w:shd w:val="clear" w:color="auto" w:fill="auto"/>
          </w:tcPr>
          <w:p w:rsidR="007A40CE" w:rsidRPr="003345A9" w:rsidRDefault="007A40CE" w:rsidP="00D515D9">
            <w:pPr>
              <w:pStyle w:val="para"/>
              <w:tabs>
                <w:tab w:val="clear" w:pos="567"/>
                <w:tab w:val="clear" w:pos="1134"/>
                <w:tab w:val="clear" w:pos="1701"/>
              </w:tabs>
              <w:spacing w:before="0"/>
            </w:pPr>
            <w:r w:rsidRPr="003345A9">
              <w:t>Grey sands</w:t>
            </w: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r w:rsidRPr="003345A9">
              <w:t>22</w:t>
            </w:r>
          </w:p>
        </w:tc>
        <w:tc>
          <w:tcPr>
            <w:tcW w:w="1008" w:type="dxa"/>
            <w:shd w:val="clear" w:color="auto" w:fill="auto"/>
          </w:tcPr>
          <w:p w:rsidR="007A40CE" w:rsidRPr="003345A9" w:rsidRDefault="007A40CE" w:rsidP="00D515D9">
            <w:pPr>
              <w:pStyle w:val="para"/>
              <w:tabs>
                <w:tab w:val="clear" w:pos="567"/>
                <w:tab w:val="clear" w:pos="1134"/>
                <w:tab w:val="clear" w:pos="1701"/>
              </w:tabs>
              <w:spacing w:before="0"/>
            </w:pPr>
            <w:r w:rsidRPr="003345A9">
              <w:t>27</w:t>
            </w:r>
          </w:p>
        </w:tc>
        <w:tc>
          <w:tcPr>
            <w:tcW w:w="1276" w:type="dxa"/>
            <w:shd w:val="clear" w:color="auto" w:fill="auto"/>
          </w:tcPr>
          <w:p w:rsidR="007A40CE" w:rsidRPr="003345A9" w:rsidRDefault="007A40CE" w:rsidP="00D515D9">
            <w:pPr>
              <w:pStyle w:val="para"/>
              <w:tabs>
                <w:tab w:val="clear" w:pos="567"/>
                <w:tab w:val="clear" w:pos="1134"/>
                <w:tab w:val="clear" w:pos="1701"/>
              </w:tabs>
              <w:spacing w:before="0"/>
            </w:pPr>
            <w:r w:rsidRPr="003345A9">
              <w:t>23-30</w:t>
            </w:r>
          </w:p>
        </w:tc>
        <w:tc>
          <w:tcPr>
            <w:tcW w:w="709" w:type="dxa"/>
            <w:shd w:val="clear" w:color="auto" w:fill="auto"/>
          </w:tcPr>
          <w:p w:rsidR="007A40CE" w:rsidRPr="003345A9" w:rsidRDefault="007A40CE" w:rsidP="00D515D9">
            <w:pPr>
              <w:pStyle w:val="para"/>
              <w:tabs>
                <w:tab w:val="clear" w:pos="567"/>
                <w:tab w:val="clear" w:pos="1134"/>
                <w:tab w:val="clear" w:pos="1701"/>
              </w:tabs>
              <w:spacing w:before="0"/>
            </w:pPr>
            <w:r w:rsidRPr="003345A9">
              <w:t>0.82</w:t>
            </w:r>
          </w:p>
        </w:tc>
      </w:tr>
      <w:tr w:rsidR="007A40CE" w:rsidRPr="007E1303" w:rsidTr="00D515D9">
        <w:tc>
          <w:tcPr>
            <w:tcW w:w="661"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S</w:t>
            </w:r>
          </w:p>
        </w:tc>
        <w:tc>
          <w:tcPr>
            <w:tcW w:w="850"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Wheat</w:t>
            </w:r>
          </w:p>
        </w:tc>
        <w:tc>
          <w:tcPr>
            <w:tcW w:w="1149"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0-10 cm</w:t>
            </w:r>
          </w:p>
        </w:tc>
        <w:tc>
          <w:tcPr>
            <w:tcW w:w="2835"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All</w:t>
            </w:r>
          </w:p>
        </w:tc>
        <w:tc>
          <w:tcPr>
            <w:tcW w:w="850"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70</w:t>
            </w:r>
          </w:p>
        </w:tc>
        <w:tc>
          <w:tcPr>
            <w:tcW w:w="1008"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roofErr w:type="spellStart"/>
            <w:r w:rsidRPr="003345A9">
              <w:t>na</w:t>
            </w:r>
            <w:proofErr w:type="spellEnd"/>
          </w:p>
        </w:tc>
        <w:tc>
          <w:tcPr>
            <w:tcW w:w="1276"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roofErr w:type="spellStart"/>
            <w:r w:rsidRPr="003345A9">
              <w:t>na</w:t>
            </w:r>
            <w:proofErr w:type="spellEnd"/>
          </w:p>
        </w:tc>
        <w:tc>
          <w:tcPr>
            <w:tcW w:w="709"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0.00</w:t>
            </w:r>
          </w:p>
        </w:tc>
      </w:tr>
      <w:tr w:rsidR="007A40CE" w:rsidRPr="007E1303" w:rsidTr="00D515D9">
        <w:tc>
          <w:tcPr>
            <w:tcW w:w="661" w:type="dxa"/>
            <w:shd w:val="clear" w:color="auto" w:fill="auto"/>
          </w:tcPr>
          <w:p w:rsidR="007A40CE" w:rsidRPr="003345A9" w:rsidRDefault="007A40CE" w:rsidP="00D515D9">
            <w:pPr>
              <w:pStyle w:val="para"/>
              <w:tabs>
                <w:tab w:val="clear" w:pos="567"/>
                <w:tab w:val="clear" w:pos="1134"/>
                <w:tab w:val="clear" w:pos="1701"/>
              </w:tabs>
              <w:spacing w:before="0"/>
            </w:pP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r w:rsidRPr="003345A9">
              <w:t>Wheat</w:t>
            </w:r>
          </w:p>
        </w:tc>
        <w:tc>
          <w:tcPr>
            <w:tcW w:w="1149" w:type="dxa"/>
            <w:shd w:val="clear" w:color="auto" w:fill="auto"/>
          </w:tcPr>
          <w:p w:rsidR="007A40CE" w:rsidRPr="003345A9" w:rsidRDefault="007A40CE" w:rsidP="00D515D9">
            <w:pPr>
              <w:pStyle w:val="para"/>
              <w:tabs>
                <w:tab w:val="clear" w:pos="567"/>
                <w:tab w:val="clear" w:pos="1134"/>
                <w:tab w:val="clear" w:pos="1701"/>
              </w:tabs>
              <w:spacing w:before="0"/>
            </w:pPr>
            <w:r w:rsidRPr="003345A9">
              <w:t>0-30 cm</w:t>
            </w:r>
          </w:p>
        </w:tc>
        <w:tc>
          <w:tcPr>
            <w:tcW w:w="2835" w:type="dxa"/>
            <w:shd w:val="clear" w:color="auto" w:fill="auto"/>
          </w:tcPr>
          <w:p w:rsidR="007A40CE" w:rsidRPr="003345A9" w:rsidRDefault="007A40CE" w:rsidP="00D515D9">
            <w:pPr>
              <w:pStyle w:val="para"/>
              <w:tabs>
                <w:tab w:val="clear" w:pos="567"/>
                <w:tab w:val="clear" w:pos="1134"/>
                <w:tab w:val="clear" w:pos="1701"/>
              </w:tabs>
              <w:spacing w:before="0"/>
            </w:pPr>
            <w:r w:rsidRPr="003345A9">
              <w:t>All</w:t>
            </w:r>
          </w:p>
        </w:tc>
        <w:tc>
          <w:tcPr>
            <w:tcW w:w="850" w:type="dxa"/>
            <w:shd w:val="clear" w:color="auto" w:fill="auto"/>
          </w:tcPr>
          <w:p w:rsidR="007A40CE" w:rsidRPr="003345A9" w:rsidRDefault="007A40CE" w:rsidP="00D515D9">
            <w:pPr>
              <w:pStyle w:val="para"/>
              <w:tabs>
                <w:tab w:val="clear" w:pos="567"/>
                <w:tab w:val="clear" w:pos="1134"/>
                <w:tab w:val="clear" w:pos="1701"/>
              </w:tabs>
              <w:spacing w:before="0"/>
            </w:pPr>
            <w:r w:rsidRPr="003345A9">
              <w:t>70</w:t>
            </w:r>
          </w:p>
        </w:tc>
        <w:tc>
          <w:tcPr>
            <w:tcW w:w="1008" w:type="dxa"/>
            <w:shd w:val="clear" w:color="auto" w:fill="auto"/>
          </w:tcPr>
          <w:p w:rsidR="007A40CE" w:rsidRPr="003345A9" w:rsidRDefault="007A40CE" w:rsidP="00D515D9">
            <w:pPr>
              <w:pStyle w:val="para"/>
              <w:tabs>
                <w:tab w:val="clear" w:pos="567"/>
                <w:tab w:val="clear" w:pos="1134"/>
                <w:tab w:val="clear" w:pos="1701"/>
              </w:tabs>
              <w:spacing w:before="0"/>
            </w:pPr>
            <w:proofErr w:type="spellStart"/>
            <w:r w:rsidRPr="003345A9">
              <w:t>na</w:t>
            </w:r>
            <w:proofErr w:type="spellEnd"/>
          </w:p>
        </w:tc>
        <w:tc>
          <w:tcPr>
            <w:tcW w:w="1276" w:type="dxa"/>
            <w:shd w:val="clear" w:color="auto" w:fill="auto"/>
          </w:tcPr>
          <w:p w:rsidR="007A40CE" w:rsidRPr="003345A9" w:rsidRDefault="007A40CE" w:rsidP="00D515D9">
            <w:pPr>
              <w:pStyle w:val="para"/>
              <w:tabs>
                <w:tab w:val="clear" w:pos="567"/>
                <w:tab w:val="clear" w:pos="1134"/>
                <w:tab w:val="clear" w:pos="1701"/>
              </w:tabs>
              <w:spacing w:before="0"/>
            </w:pPr>
            <w:proofErr w:type="spellStart"/>
            <w:r w:rsidRPr="003345A9">
              <w:t>na</w:t>
            </w:r>
            <w:proofErr w:type="spellEnd"/>
          </w:p>
        </w:tc>
        <w:tc>
          <w:tcPr>
            <w:tcW w:w="709" w:type="dxa"/>
            <w:shd w:val="clear" w:color="auto" w:fill="auto"/>
          </w:tcPr>
          <w:p w:rsidR="007A40CE" w:rsidRPr="003345A9" w:rsidRDefault="007A40CE" w:rsidP="00D515D9">
            <w:pPr>
              <w:pStyle w:val="para"/>
              <w:tabs>
                <w:tab w:val="clear" w:pos="567"/>
                <w:tab w:val="clear" w:pos="1134"/>
                <w:tab w:val="clear" w:pos="1701"/>
              </w:tabs>
              <w:spacing w:before="0"/>
            </w:pPr>
            <w:r w:rsidRPr="003345A9">
              <w:t>0.00</w:t>
            </w:r>
          </w:p>
        </w:tc>
      </w:tr>
      <w:tr w:rsidR="007A40CE" w:rsidRPr="007E1303" w:rsidTr="00D515D9">
        <w:tc>
          <w:tcPr>
            <w:tcW w:w="661"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
        </w:tc>
        <w:tc>
          <w:tcPr>
            <w:tcW w:w="850"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Canola</w:t>
            </w:r>
          </w:p>
        </w:tc>
        <w:tc>
          <w:tcPr>
            <w:tcW w:w="1149"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0-10 cm</w:t>
            </w:r>
          </w:p>
        </w:tc>
        <w:tc>
          <w:tcPr>
            <w:tcW w:w="2835"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All</w:t>
            </w:r>
          </w:p>
        </w:tc>
        <w:tc>
          <w:tcPr>
            <w:tcW w:w="850"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130</w:t>
            </w:r>
          </w:p>
        </w:tc>
        <w:tc>
          <w:tcPr>
            <w:tcW w:w="1008"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roofErr w:type="spellStart"/>
            <w:r w:rsidRPr="003345A9">
              <w:t>na</w:t>
            </w:r>
            <w:proofErr w:type="spellEnd"/>
          </w:p>
        </w:tc>
        <w:tc>
          <w:tcPr>
            <w:tcW w:w="1276"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proofErr w:type="spellStart"/>
            <w:r w:rsidRPr="003345A9">
              <w:t>na</w:t>
            </w:r>
            <w:proofErr w:type="spellEnd"/>
          </w:p>
        </w:tc>
        <w:tc>
          <w:tcPr>
            <w:tcW w:w="709" w:type="dxa"/>
            <w:shd w:val="clear" w:color="auto" w:fill="D9D9D9" w:themeFill="background1" w:themeFillShade="D9"/>
          </w:tcPr>
          <w:p w:rsidR="007A40CE" w:rsidRPr="003345A9" w:rsidRDefault="007A40CE" w:rsidP="00D515D9">
            <w:pPr>
              <w:pStyle w:val="para"/>
              <w:tabs>
                <w:tab w:val="clear" w:pos="567"/>
                <w:tab w:val="clear" w:pos="1134"/>
                <w:tab w:val="clear" w:pos="1701"/>
              </w:tabs>
              <w:spacing w:before="0"/>
            </w:pPr>
            <w:r w:rsidRPr="003345A9">
              <w:t>0.15</w:t>
            </w:r>
          </w:p>
        </w:tc>
      </w:tr>
      <w:tr w:rsidR="007A40CE" w:rsidRPr="007E1303" w:rsidTr="00D515D9">
        <w:tc>
          <w:tcPr>
            <w:tcW w:w="661"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p>
        </w:tc>
        <w:tc>
          <w:tcPr>
            <w:tcW w:w="850"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Canola</w:t>
            </w:r>
          </w:p>
        </w:tc>
        <w:tc>
          <w:tcPr>
            <w:tcW w:w="1149"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0-30 cm</w:t>
            </w:r>
          </w:p>
        </w:tc>
        <w:tc>
          <w:tcPr>
            <w:tcW w:w="2835"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All</w:t>
            </w:r>
          </w:p>
        </w:tc>
        <w:tc>
          <w:tcPr>
            <w:tcW w:w="850"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130</w:t>
            </w:r>
          </w:p>
        </w:tc>
        <w:tc>
          <w:tcPr>
            <w:tcW w:w="1008"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9</w:t>
            </w:r>
          </w:p>
        </w:tc>
        <w:tc>
          <w:tcPr>
            <w:tcW w:w="1276"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8-10</w:t>
            </w:r>
          </w:p>
        </w:tc>
        <w:tc>
          <w:tcPr>
            <w:tcW w:w="709" w:type="dxa"/>
            <w:tcBorders>
              <w:bottom w:val="single" w:sz="4" w:space="0" w:color="auto"/>
            </w:tcBorders>
            <w:shd w:val="clear" w:color="auto" w:fill="auto"/>
          </w:tcPr>
          <w:p w:rsidR="007A40CE" w:rsidRPr="003345A9" w:rsidRDefault="007A40CE" w:rsidP="00D515D9">
            <w:pPr>
              <w:pStyle w:val="para"/>
              <w:tabs>
                <w:tab w:val="clear" w:pos="567"/>
                <w:tab w:val="clear" w:pos="1134"/>
                <w:tab w:val="clear" w:pos="1701"/>
              </w:tabs>
              <w:spacing w:before="0"/>
            </w:pPr>
            <w:r w:rsidRPr="003345A9">
              <w:t>0.41</w:t>
            </w:r>
          </w:p>
        </w:tc>
      </w:tr>
    </w:tbl>
    <w:p w:rsidR="007A40CE" w:rsidRDefault="007A40CE" w:rsidP="007A40CE">
      <w:pPr>
        <w:pStyle w:val="para"/>
      </w:pPr>
      <w:r>
        <w:t xml:space="preserve"> </w:t>
      </w:r>
      <w:r>
        <w:rPr>
          <w:vertAlign w:val="superscript"/>
        </w:rPr>
        <w:t>A</w:t>
      </w:r>
      <w:r>
        <w:t xml:space="preserve"> weighted for root distribution with units in mg/kg, </w:t>
      </w:r>
      <w:r>
        <w:rPr>
          <w:vertAlign w:val="superscript"/>
        </w:rPr>
        <w:t>B</w:t>
      </w:r>
      <w:r>
        <w:t xml:space="preserve">other soils - yellow, red and brown sands, loams, clays and duplex soils, </w:t>
      </w:r>
      <w:proofErr w:type="spellStart"/>
      <w:r>
        <w:rPr>
          <w:vertAlign w:val="superscript"/>
        </w:rPr>
        <w:t>C</w:t>
      </w:r>
      <w:r>
        <w:t>yellow</w:t>
      </w:r>
      <w:proofErr w:type="spellEnd"/>
      <w:r>
        <w:t xml:space="preserve"> sands with PRI=1, </w:t>
      </w:r>
      <w:proofErr w:type="spellStart"/>
      <w:r>
        <w:rPr>
          <w:vertAlign w:val="superscript"/>
        </w:rPr>
        <w:t>D</w:t>
      </w:r>
      <w:r>
        <w:t>Soil</w:t>
      </w:r>
      <w:proofErr w:type="spellEnd"/>
      <w:r>
        <w:t xml:space="preserve"> test value (mg/kg) at 95% of predicted maximum grain yield, </w:t>
      </w:r>
      <w:r>
        <w:rPr>
          <w:vertAlign w:val="superscript"/>
        </w:rPr>
        <w:t>E</w:t>
      </w:r>
      <w:r>
        <w:t xml:space="preserve">95% chance that this range covers the critical soil test value, </w:t>
      </w:r>
      <w:proofErr w:type="spellStart"/>
      <w:r>
        <w:t>na</w:t>
      </w:r>
      <w:proofErr w:type="spellEnd"/>
      <w:r>
        <w:t xml:space="preserve"> not available.</w:t>
      </w:r>
    </w:p>
    <w:p w:rsidR="007A40CE" w:rsidRDefault="007A40CE" w:rsidP="007A40CE">
      <w:pPr>
        <w:pStyle w:val="Heading3"/>
      </w:pPr>
      <w:r>
        <w:t>S</w:t>
      </w:r>
    </w:p>
    <w:p w:rsidR="007A40CE" w:rsidRDefault="007A40CE" w:rsidP="007A40CE">
      <w:pPr>
        <w:pStyle w:val="para"/>
      </w:pPr>
      <w:r>
        <w:t xml:space="preserve">The soil S test - grain yield response relationship was poor for both wheat and canola and critical levels could not be defined with the 0-10 cm soil samples.  Better fits for the soil S test values for canola were obtained by </w:t>
      </w:r>
      <w:r w:rsidR="00B47659">
        <w:t>averaging</w:t>
      </w:r>
      <w:r>
        <w:t xml:space="preserve"> the extractable soil S content to 30 cm depth.  The critical level f</w:t>
      </w:r>
      <w:bookmarkStart w:id="0" w:name="_GoBack"/>
      <w:bookmarkEnd w:id="0"/>
      <w:r>
        <w:t>or canola was 9 mg S/kg (critical range 8-10 mg S/kg).  There are only 7 lupin fertiliser experiments in the data base with only one responsive site which had an extractable S level of 3.7 mg S/kg (data not presented).</w:t>
      </w:r>
    </w:p>
    <w:p w:rsidR="007A40CE" w:rsidRDefault="007A40CE" w:rsidP="007A40CE">
      <w:pPr>
        <w:pStyle w:val="Heading3"/>
      </w:pPr>
      <w:r>
        <w:t>N</w:t>
      </w:r>
    </w:p>
    <w:p w:rsidR="007A40CE" w:rsidRDefault="007A40CE" w:rsidP="007A40CE">
      <w:pPr>
        <w:pStyle w:val="para"/>
      </w:pPr>
      <w:r>
        <w:t>The inorganic N soil tests using both the 0-10 and 0-45 cm sampling layers– for both wheat and canola grain yield response relationships - were poor (data not presented).  Soil N supply or soil profile N plus predicted N growing season mineralisation better predicted wheat grain yield response when sites were separated by rainfall zones and soil types.  However, the regression coefficients for soil N – crop yield relationships were all less than 0.25.  Nevertheless, some sites with N supply of 102-106 kg/ha were able to produce 4.0 t wheat/ha within the 275 to 375 mm rainfall zone.</w:t>
      </w:r>
    </w:p>
    <w:p w:rsidR="007A40CE" w:rsidRDefault="007A40CE" w:rsidP="007A40CE">
      <w:pPr>
        <w:pStyle w:val="Heading2"/>
      </w:pPr>
      <w:r>
        <w:t>conclusion</w:t>
      </w:r>
    </w:p>
    <w:p w:rsidR="007A40CE" w:rsidRDefault="007A40CE" w:rsidP="007A40CE">
      <w:pPr>
        <w:pStyle w:val="para"/>
      </w:pPr>
      <w:r>
        <w:t>Phosphorus sorption has a large impact on the availability of soil P to crops (</w:t>
      </w:r>
      <w:proofErr w:type="spellStart"/>
      <w:r>
        <w:t>Helyar</w:t>
      </w:r>
      <w:proofErr w:type="spellEnd"/>
      <w:r>
        <w:t xml:space="preserve"> and Spencer 1977).  Within the wheat and canola data base, there was limited availability of P sorption data and only PRI was recorded in the lupin data base.  As a result, soil type was used as a surrogate for P sorption to separate the P data.  This approach resulted in wheat and lupins grown on grey sands having a lower critical value of 14-15 mg/kg compared to a higher critical value of 29 mg/kg for wheat grown on other soils examined.  A critical value of 24 mg/kg was determined for lupins grown on yellow sands with PRI=1 (Table 1).  For soils with PRI values &gt; 1, P sorption reduced soil P availability to lupins but it was not possible to define a soil test – crop response relationship (data not presented).  Canola appeared to be less sensitive to soil type, with the soil test values correlated to canola yield response across a wide range of soil types, giving a critical value of 20 mg/kg (critical range 17-25 mg/kg). </w:t>
      </w:r>
    </w:p>
    <w:p w:rsidR="007A40CE" w:rsidRDefault="007A40CE" w:rsidP="007A40CE">
      <w:pPr>
        <w:pStyle w:val="para"/>
      </w:pPr>
      <w:proofErr w:type="spellStart"/>
      <w:r>
        <w:t>Sulfur</w:t>
      </w:r>
      <w:proofErr w:type="spellEnd"/>
      <w:r>
        <w:t xml:space="preserve"> soil test better predicted canola grain yield responses when using the soil sampling depth of 0-30 cm compared to the sampling depth of 0-10 cm.  The improvement compared to the 0-10 cm soil sampling layer is attributed to the </w:t>
      </w:r>
      <w:r>
        <w:lastRenderedPageBreak/>
        <w:t>utilisation of sub-soil S canola.  For wheat, sampling to a depth of 30 cm did not improve the relationship as rates of S leaching and potential yield appeared to have an impact on the relationship.</w:t>
      </w:r>
    </w:p>
    <w:p w:rsidR="007A40CE" w:rsidRDefault="007A40CE" w:rsidP="007A40CE">
      <w:pPr>
        <w:pStyle w:val="para"/>
      </w:pPr>
      <w:r>
        <w:t xml:space="preserve">Potassium soil test better predicted canola grain yield responses when using the soil sampling depth of 0-30 cm compared to the sampling depth of 0-10 cm.  However, for wheat the approach required root distribution as affected by soil acidity and potential yield to be taken into account. </w:t>
      </w:r>
    </w:p>
    <w:p w:rsidR="007A40CE" w:rsidRDefault="007A40CE" w:rsidP="007A40CE">
      <w:pPr>
        <w:pStyle w:val="para"/>
      </w:pPr>
      <w:r>
        <w:t xml:space="preserve">Nitrogen soil testing both for the 0-15 cm or 0-45 cm soil layers, even when the contribution of growing season mineralisation was estimated, had limited predictive capacity for crop yield response, presumably because of the large impact of nitrate leaching on soil inorganic N availability in WA (Anderson et al. 1998). </w:t>
      </w:r>
    </w:p>
    <w:p w:rsidR="007A40CE" w:rsidRDefault="007A40CE" w:rsidP="007A40CE">
      <w:pPr>
        <w:pStyle w:val="Heading2"/>
      </w:pPr>
      <w:r>
        <w:t>Key words</w:t>
      </w:r>
    </w:p>
    <w:p w:rsidR="007A40CE" w:rsidRDefault="007A40CE" w:rsidP="007A40CE">
      <w:pPr>
        <w:pStyle w:val="para"/>
      </w:pPr>
      <w:r>
        <w:t xml:space="preserve">Soil testing, Phosphorus, Potassium, </w:t>
      </w:r>
      <w:proofErr w:type="spellStart"/>
      <w:r>
        <w:t>Sulfur</w:t>
      </w:r>
      <w:proofErr w:type="spellEnd"/>
      <w:r>
        <w:t xml:space="preserve"> and Nitrogen</w:t>
      </w:r>
    </w:p>
    <w:p w:rsidR="007A40CE" w:rsidRDefault="007A40CE" w:rsidP="007A40CE">
      <w:pPr>
        <w:pStyle w:val="Heading2"/>
      </w:pPr>
      <w:r>
        <w:t>References</w:t>
      </w:r>
    </w:p>
    <w:p w:rsidR="007A40CE" w:rsidRPr="00EB0026" w:rsidRDefault="007A40CE" w:rsidP="007A40CE">
      <w:pPr>
        <w:spacing w:before="120"/>
        <w:rPr>
          <w:rFonts w:ascii="Arial" w:hAnsi="Arial" w:cs="Arial"/>
          <w:sz w:val="20"/>
          <w:szCs w:val="20"/>
          <w:lang w:eastAsia="en-AU"/>
        </w:rPr>
      </w:pPr>
      <w:r w:rsidRPr="00EB0026">
        <w:rPr>
          <w:rFonts w:ascii="Arial" w:hAnsi="Arial" w:cs="Arial"/>
          <w:sz w:val="20"/>
          <w:szCs w:val="20"/>
          <w:lang w:eastAsia="en-AU"/>
        </w:rPr>
        <w:t xml:space="preserve">Anderson GC, </w:t>
      </w:r>
      <w:proofErr w:type="spellStart"/>
      <w:r w:rsidRPr="00EB0026">
        <w:rPr>
          <w:rFonts w:ascii="Arial" w:hAnsi="Arial" w:cs="Arial"/>
          <w:sz w:val="20"/>
          <w:szCs w:val="20"/>
          <w:lang w:eastAsia="en-AU"/>
        </w:rPr>
        <w:t>Fillery</w:t>
      </w:r>
      <w:proofErr w:type="spellEnd"/>
      <w:r w:rsidRPr="00EB0026">
        <w:rPr>
          <w:rFonts w:ascii="Arial" w:hAnsi="Arial" w:cs="Arial"/>
          <w:sz w:val="20"/>
          <w:szCs w:val="20"/>
          <w:lang w:eastAsia="en-AU"/>
        </w:rPr>
        <w:t xml:space="preserve"> IRP, Dolling PJ, </w:t>
      </w:r>
      <w:proofErr w:type="spellStart"/>
      <w:r w:rsidRPr="00EB0026">
        <w:rPr>
          <w:rFonts w:ascii="Arial" w:hAnsi="Arial" w:cs="Arial"/>
          <w:sz w:val="20"/>
          <w:szCs w:val="20"/>
          <w:lang w:eastAsia="en-AU"/>
        </w:rPr>
        <w:t>Asseng</w:t>
      </w:r>
      <w:proofErr w:type="spellEnd"/>
      <w:r w:rsidRPr="00EB0026">
        <w:rPr>
          <w:rFonts w:ascii="Arial" w:hAnsi="Arial" w:cs="Arial"/>
          <w:sz w:val="20"/>
          <w:szCs w:val="20"/>
          <w:lang w:eastAsia="en-AU"/>
        </w:rPr>
        <w:t xml:space="preserve"> S (1998) Nitrogen and water flows under pasture–wheat and lupin–wheat rotations in deep sands in Western Australia. 2. Drainage and nitrate leaching. </w:t>
      </w:r>
      <w:r w:rsidRPr="00EB0026">
        <w:rPr>
          <w:rFonts w:ascii="Arial" w:hAnsi="Arial" w:cs="Arial"/>
          <w:i/>
          <w:sz w:val="20"/>
          <w:szCs w:val="20"/>
          <w:lang w:eastAsia="en-AU"/>
        </w:rPr>
        <w:t>Australian Journal of Agricultural Research</w:t>
      </w:r>
      <w:r w:rsidRPr="00EB0026">
        <w:rPr>
          <w:rFonts w:ascii="Arial" w:hAnsi="Arial" w:cs="Arial"/>
          <w:sz w:val="20"/>
          <w:szCs w:val="20"/>
          <w:lang w:eastAsia="en-AU"/>
        </w:rPr>
        <w:t xml:space="preserve"> </w:t>
      </w:r>
      <w:r w:rsidRPr="00EB0026">
        <w:rPr>
          <w:rFonts w:ascii="Arial" w:hAnsi="Arial" w:cs="Arial"/>
          <w:b/>
          <w:sz w:val="20"/>
          <w:szCs w:val="20"/>
          <w:lang w:eastAsia="en-AU"/>
        </w:rPr>
        <w:t>49</w:t>
      </w:r>
      <w:r w:rsidRPr="00EB0026">
        <w:rPr>
          <w:rFonts w:ascii="Arial" w:hAnsi="Arial" w:cs="Arial"/>
          <w:sz w:val="20"/>
          <w:szCs w:val="20"/>
          <w:lang w:eastAsia="en-AU"/>
        </w:rPr>
        <w:t>, 345–361.</w:t>
      </w:r>
    </w:p>
    <w:p w:rsidR="007A40CE" w:rsidRPr="00EB0026" w:rsidRDefault="007A40CE" w:rsidP="007A40CE">
      <w:pPr>
        <w:spacing w:before="120"/>
        <w:rPr>
          <w:rFonts w:ascii="Arial" w:hAnsi="Arial" w:cs="Arial"/>
          <w:sz w:val="20"/>
          <w:szCs w:val="20"/>
          <w:lang w:eastAsia="en-AU"/>
        </w:rPr>
      </w:pPr>
      <w:proofErr w:type="spellStart"/>
      <w:r w:rsidRPr="00EB0026">
        <w:rPr>
          <w:rFonts w:ascii="Arial" w:hAnsi="Arial" w:cs="Arial"/>
          <w:sz w:val="20"/>
          <w:szCs w:val="20"/>
          <w:lang w:eastAsia="en-AU"/>
        </w:rPr>
        <w:t>Helyar</w:t>
      </w:r>
      <w:proofErr w:type="spellEnd"/>
      <w:r w:rsidRPr="00EB0026">
        <w:rPr>
          <w:rFonts w:ascii="Arial" w:hAnsi="Arial" w:cs="Arial"/>
          <w:sz w:val="20"/>
          <w:szCs w:val="20"/>
          <w:lang w:eastAsia="en-AU"/>
        </w:rPr>
        <w:t xml:space="preserve"> KR, Spencer K (1977) Sodium bicarbonate soil test values and the phosphate buffering capacity of soils</w:t>
      </w:r>
      <w:r>
        <w:rPr>
          <w:rFonts w:ascii="Arial" w:hAnsi="Arial" w:cs="Arial"/>
          <w:sz w:val="20"/>
          <w:szCs w:val="20"/>
          <w:lang w:eastAsia="en-AU"/>
        </w:rPr>
        <w:t xml:space="preserve">.  </w:t>
      </w:r>
      <w:r w:rsidRPr="00EB0026">
        <w:rPr>
          <w:rFonts w:ascii="Arial" w:hAnsi="Arial" w:cs="Arial"/>
          <w:i/>
          <w:sz w:val="20"/>
          <w:szCs w:val="20"/>
          <w:lang w:eastAsia="en-AU"/>
        </w:rPr>
        <w:t>Australian Journal of Soil Research</w:t>
      </w:r>
      <w:r w:rsidRPr="00EB0026">
        <w:rPr>
          <w:rFonts w:ascii="Arial" w:hAnsi="Arial" w:cs="Arial"/>
          <w:sz w:val="20"/>
          <w:szCs w:val="20"/>
          <w:lang w:eastAsia="en-AU"/>
        </w:rPr>
        <w:t xml:space="preserve"> </w:t>
      </w:r>
      <w:r w:rsidRPr="00EB0026">
        <w:rPr>
          <w:rFonts w:ascii="Arial" w:hAnsi="Arial" w:cs="Arial"/>
          <w:b/>
          <w:sz w:val="20"/>
          <w:szCs w:val="20"/>
          <w:lang w:eastAsia="en-AU"/>
        </w:rPr>
        <w:t>15</w:t>
      </w:r>
      <w:r w:rsidRPr="00EB0026">
        <w:rPr>
          <w:rFonts w:ascii="Arial" w:hAnsi="Arial" w:cs="Arial"/>
          <w:sz w:val="20"/>
          <w:szCs w:val="20"/>
          <w:lang w:eastAsia="en-AU"/>
        </w:rPr>
        <w:t>, 263-273.</w:t>
      </w:r>
    </w:p>
    <w:p w:rsidR="007A40CE" w:rsidRPr="00EB0026" w:rsidRDefault="007A40CE" w:rsidP="007A40CE">
      <w:pPr>
        <w:spacing w:before="120"/>
        <w:rPr>
          <w:rFonts w:ascii="Arial" w:hAnsi="Arial" w:cs="Arial"/>
          <w:sz w:val="20"/>
          <w:szCs w:val="20"/>
          <w:lang w:eastAsia="en-AU"/>
        </w:rPr>
      </w:pPr>
      <w:proofErr w:type="spellStart"/>
      <w:proofErr w:type="gramStart"/>
      <w:r w:rsidRPr="00EB0026">
        <w:rPr>
          <w:rFonts w:ascii="Arial" w:hAnsi="Arial" w:cs="Arial"/>
          <w:sz w:val="20"/>
          <w:szCs w:val="20"/>
          <w:lang w:eastAsia="en-AU"/>
        </w:rPr>
        <w:t>Rayment</w:t>
      </w:r>
      <w:proofErr w:type="spellEnd"/>
      <w:r w:rsidRPr="00EB0026">
        <w:rPr>
          <w:rFonts w:ascii="Arial" w:hAnsi="Arial" w:cs="Arial"/>
          <w:sz w:val="20"/>
          <w:szCs w:val="20"/>
          <w:lang w:eastAsia="en-AU"/>
        </w:rPr>
        <w:t xml:space="preserve"> GE, Lyons DJ (2010) Soil Chemical Methods – Australasia</w:t>
      </w:r>
      <w:r>
        <w:rPr>
          <w:rFonts w:ascii="Arial" w:hAnsi="Arial" w:cs="Arial"/>
          <w:sz w:val="20"/>
          <w:szCs w:val="20"/>
          <w:lang w:eastAsia="en-AU"/>
        </w:rPr>
        <w:t>.</w:t>
      </w:r>
      <w:proofErr w:type="gramEnd"/>
      <w:r>
        <w:rPr>
          <w:rFonts w:ascii="Arial" w:hAnsi="Arial" w:cs="Arial"/>
          <w:sz w:val="20"/>
          <w:szCs w:val="20"/>
          <w:lang w:eastAsia="en-AU"/>
        </w:rPr>
        <w:t xml:space="preserve">  </w:t>
      </w:r>
      <w:r w:rsidRPr="00EB0026">
        <w:rPr>
          <w:rFonts w:ascii="Arial" w:hAnsi="Arial" w:cs="Arial"/>
          <w:sz w:val="20"/>
          <w:szCs w:val="20"/>
          <w:lang w:eastAsia="en-AU"/>
        </w:rPr>
        <w:t>Australian Soil and Land Survey Handbook Series, (CSIRO Publishing: Melbourne).</w:t>
      </w:r>
    </w:p>
    <w:p w:rsidR="007A40CE" w:rsidRPr="00EB0026" w:rsidRDefault="007A40CE" w:rsidP="007A40CE">
      <w:pPr>
        <w:spacing w:before="120"/>
        <w:rPr>
          <w:rFonts w:ascii="Arial" w:hAnsi="Arial" w:cs="Arial"/>
          <w:sz w:val="20"/>
          <w:szCs w:val="20"/>
          <w:lang w:eastAsia="en-AU"/>
        </w:rPr>
      </w:pPr>
      <w:r w:rsidRPr="00EB0026">
        <w:rPr>
          <w:rFonts w:ascii="Arial" w:hAnsi="Arial" w:cs="Arial"/>
          <w:sz w:val="20"/>
          <w:szCs w:val="20"/>
          <w:lang w:eastAsia="en-AU"/>
        </w:rPr>
        <w:t>Weaver DM, Wong MTF (2011) Phosphorus balance efficiency and P status in crop and pasture soils with contrasting P buffer indices: scope for improvement</w:t>
      </w:r>
      <w:r>
        <w:rPr>
          <w:rFonts w:ascii="Arial" w:hAnsi="Arial" w:cs="Arial"/>
          <w:sz w:val="20"/>
          <w:szCs w:val="20"/>
          <w:lang w:eastAsia="en-AU"/>
        </w:rPr>
        <w:t xml:space="preserve">.  </w:t>
      </w:r>
      <w:r w:rsidRPr="00EB0026">
        <w:rPr>
          <w:rFonts w:ascii="Arial" w:hAnsi="Arial" w:cs="Arial"/>
          <w:i/>
          <w:sz w:val="20"/>
          <w:szCs w:val="20"/>
          <w:lang w:eastAsia="en-AU"/>
        </w:rPr>
        <w:t>Plant and Soil</w:t>
      </w:r>
      <w:r w:rsidRPr="00EB0026">
        <w:rPr>
          <w:rFonts w:ascii="Arial" w:hAnsi="Arial" w:cs="Arial"/>
          <w:sz w:val="20"/>
          <w:szCs w:val="20"/>
          <w:lang w:eastAsia="en-AU"/>
        </w:rPr>
        <w:t xml:space="preserve"> </w:t>
      </w:r>
      <w:r w:rsidRPr="00EB0026">
        <w:rPr>
          <w:rFonts w:ascii="Arial" w:hAnsi="Arial" w:cs="Arial"/>
          <w:b/>
          <w:sz w:val="20"/>
          <w:szCs w:val="20"/>
          <w:lang w:eastAsia="en-AU"/>
        </w:rPr>
        <w:t>349</w:t>
      </w:r>
      <w:r w:rsidRPr="00EB0026">
        <w:rPr>
          <w:rFonts w:ascii="Arial" w:hAnsi="Arial" w:cs="Arial"/>
          <w:sz w:val="20"/>
          <w:szCs w:val="20"/>
          <w:lang w:eastAsia="en-AU"/>
        </w:rPr>
        <w:t>, 37–54.</w:t>
      </w:r>
    </w:p>
    <w:p w:rsidR="007A40CE" w:rsidRPr="00EB0026" w:rsidRDefault="007A40CE" w:rsidP="007A40CE">
      <w:pPr>
        <w:spacing w:before="120"/>
        <w:rPr>
          <w:rFonts w:ascii="Arial" w:hAnsi="Arial" w:cs="Arial"/>
          <w:lang w:eastAsia="en-AU"/>
        </w:rPr>
      </w:pPr>
      <w:proofErr w:type="gramStart"/>
      <w:r w:rsidRPr="00EB0026">
        <w:rPr>
          <w:rFonts w:ascii="Arial" w:hAnsi="Arial" w:cs="Arial"/>
          <w:sz w:val="20"/>
          <w:szCs w:val="20"/>
          <w:lang w:eastAsia="en-AU"/>
        </w:rPr>
        <w:t>Wong MTF, Edwards NK, Barrow NJ (2000) Accessibility of subsoil potassium to wheat grown on duplex soils in the south-west of Western Australia</w:t>
      </w:r>
      <w:r>
        <w:rPr>
          <w:rFonts w:ascii="Arial" w:hAnsi="Arial" w:cs="Arial"/>
          <w:sz w:val="20"/>
          <w:szCs w:val="20"/>
          <w:lang w:eastAsia="en-AU"/>
        </w:rPr>
        <w:t>.</w:t>
      </w:r>
      <w:proofErr w:type="gramEnd"/>
      <w:r>
        <w:rPr>
          <w:rFonts w:ascii="Arial" w:hAnsi="Arial" w:cs="Arial"/>
          <w:sz w:val="20"/>
          <w:szCs w:val="20"/>
          <w:lang w:eastAsia="en-AU"/>
        </w:rPr>
        <w:t xml:space="preserve">  </w:t>
      </w:r>
      <w:r w:rsidRPr="00EB0026">
        <w:rPr>
          <w:rFonts w:ascii="Arial" w:hAnsi="Arial" w:cs="Arial"/>
          <w:i/>
          <w:sz w:val="20"/>
          <w:szCs w:val="20"/>
          <w:lang w:eastAsia="en-AU"/>
        </w:rPr>
        <w:t>Australian Journal of Soil Research</w:t>
      </w:r>
      <w:r w:rsidRPr="00EB0026">
        <w:rPr>
          <w:rFonts w:ascii="Arial" w:hAnsi="Arial" w:cs="Arial"/>
          <w:sz w:val="20"/>
          <w:szCs w:val="20"/>
          <w:lang w:eastAsia="en-AU"/>
        </w:rPr>
        <w:t xml:space="preserve"> </w:t>
      </w:r>
      <w:r w:rsidRPr="00EB0026">
        <w:rPr>
          <w:rFonts w:ascii="Arial" w:hAnsi="Arial" w:cs="Arial"/>
          <w:b/>
          <w:sz w:val="20"/>
          <w:szCs w:val="20"/>
          <w:lang w:eastAsia="en-AU"/>
        </w:rPr>
        <w:t>38</w:t>
      </w:r>
      <w:r w:rsidRPr="00EB0026">
        <w:rPr>
          <w:rFonts w:ascii="Arial" w:hAnsi="Arial" w:cs="Arial"/>
          <w:sz w:val="20"/>
          <w:szCs w:val="20"/>
          <w:lang w:eastAsia="en-AU"/>
        </w:rPr>
        <w:t xml:space="preserve">, 745–751. </w:t>
      </w:r>
    </w:p>
    <w:p w:rsidR="007A40CE" w:rsidRDefault="007A40CE" w:rsidP="007A40CE">
      <w:pPr>
        <w:pStyle w:val="Heading2"/>
      </w:pPr>
      <w:r>
        <w:t>acknowledgments</w:t>
      </w:r>
    </w:p>
    <w:p w:rsidR="007A40CE" w:rsidRPr="007E1303" w:rsidRDefault="007A40CE" w:rsidP="007A40CE">
      <w:pPr>
        <w:rPr>
          <w:rFonts w:ascii="Arial" w:hAnsi="Arial" w:cs="Arial"/>
          <w:sz w:val="20"/>
          <w:szCs w:val="20"/>
          <w:lang w:eastAsia="en-AU"/>
        </w:rPr>
      </w:pPr>
      <w:r w:rsidRPr="007E1303">
        <w:rPr>
          <w:rFonts w:ascii="Arial" w:hAnsi="Arial" w:cs="Arial"/>
          <w:sz w:val="20"/>
          <w:szCs w:val="20"/>
          <w:lang w:eastAsia="en-AU"/>
        </w:rPr>
        <w:t>The project was jointly funded by Department of Agriculture and Food Western Australia, Murdoch University and Grains Research and Development Corporation (UMU00030)</w:t>
      </w:r>
      <w:r>
        <w:rPr>
          <w:rFonts w:ascii="Arial" w:hAnsi="Arial" w:cs="Arial"/>
          <w:sz w:val="20"/>
          <w:szCs w:val="20"/>
          <w:lang w:eastAsia="en-AU"/>
        </w:rPr>
        <w:t xml:space="preserve">.  </w:t>
      </w:r>
      <w:r w:rsidRPr="007E1303">
        <w:rPr>
          <w:rFonts w:ascii="Arial" w:hAnsi="Arial" w:cs="Arial"/>
          <w:sz w:val="20"/>
          <w:szCs w:val="20"/>
          <w:lang w:eastAsia="en-AU"/>
        </w:rPr>
        <w:t>Project collaborated closely with the national Better Fertiliser Decision Crop project managed by DPI NSW</w:t>
      </w:r>
    </w:p>
    <w:p w:rsidR="007A40CE" w:rsidRPr="007E1303" w:rsidRDefault="007A40CE" w:rsidP="007A40CE">
      <w:pPr>
        <w:tabs>
          <w:tab w:val="left" w:pos="2268"/>
        </w:tabs>
        <w:rPr>
          <w:b/>
        </w:rPr>
      </w:pPr>
      <w:r>
        <w:rPr>
          <w:b/>
          <w:bCs/>
        </w:rPr>
        <w:t>GRDC Project No.:</w:t>
      </w:r>
      <w:r>
        <w:rPr>
          <w:b/>
          <w:bCs/>
        </w:rPr>
        <w:tab/>
      </w:r>
      <w:r w:rsidRPr="007E1303">
        <w:rPr>
          <w:b/>
        </w:rPr>
        <w:t>(UMU00030)</w:t>
      </w:r>
    </w:p>
    <w:p w:rsidR="007A40CE" w:rsidRDefault="007A40CE" w:rsidP="007A40CE">
      <w:pPr>
        <w:tabs>
          <w:tab w:val="left" w:pos="2268"/>
        </w:tabs>
        <w:spacing w:before="120"/>
        <w:rPr>
          <w:b/>
          <w:bCs/>
        </w:rPr>
      </w:pPr>
      <w:r>
        <w:rPr>
          <w:b/>
          <w:bCs/>
        </w:rPr>
        <w:t>Paper reviewed by:</w:t>
      </w:r>
      <w:r>
        <w:rPr>
          <w:b/>
          <w:bCs/>
        </w:rPr>
        <w:tab/>
        <w:t xml:space="preserve">Mike Wong and Craig </w:t>
      </w:r>
      <w:proofErr w:type="spellStart"/>
      <w:r>
        <w:rPr>
          <w:b/>
          <w:bCs/>
        </w:rPr>
        <w:t>Scanlan</w:t>
      </w:r>
      <w:proofErr w:type="spellEnd"/>
    </w:p>
    <w:p w:rsidR="007A40CE" w:rsidRDefault="007A40CE" w:rsidP="007A40CE">
      <w:pPr>
        <w:tabs>
          <w:tab w:val="left" w:pos="2268"/>
        </w:tabs>
        <w:spacing w:before="120"/>
      </w:pPr>
    </w:p>
    <w:p w:rsidR="006B7EC2" w:rsidRDefault="006B7EC2"/>
    <w:p w:rsidR="006B7EC2" w:rsidRPr="006B7EC2" w:rsidRDefault="006B7EC2" w:rsidP="006B7EC2"/>
    <w:p w:rsidR="005A0FD9" w:rsidRDefault="005A0FD9" w:rsidP="006B7EC2">
      <w:pPr>
        <w:tabs>
          <w:tab w:val="left" w:pos="1755"/>
        </w:tabs>
      </w:pPr>
    </w:p>
    <w:p w:rsidR="005A0FD9" w:rsidRDefault="005A0FD9" w:rsidP="005A0FD9"/>
    <w:sectPr w:rsidR="005A0FD9" w:rsidSect="007A3096">
      <w:footerReference w:type="default" r:id="rId8"/>
      <w:headerReference w:type="first" r:id="rId9"/>
      <w:footerReference w:type="first" r:id="rId10"/>
      <w:pgSz w:w="11906" w:h="16838"/>
      <w:pgMar w:top="1440" w:right="707" w:bottom="14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54" w:rsidRDefault="00F20854" w:rsidP="006B7EC2">
      <w:r>
        <w:separator/>
      </w:r>
    </w:p>
  </w:endnote>
  <w:endnote w:type="continuationSeparator" w:id="0">
    <w:p w:rsidR="00F20854" w:rsidRDefault="00F20854" w:rsidP="006B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03562"/>
      <w:docPartObj>
        <w:docPartGallery w:val="Page Numbers (Bottom of Page)"/>
        <w:docPartUnique/>
      </w:docPartObj>
    </w:sdtPr>
    <w:sdtEndPr>
      <w:rPr>
        <w:noProof/>
      </w:rPr>
    </w:sdtEndPr>
    <w:sdtContent>
      <w:p w:rsidR="006B7EC2" w:rsidRPr="007A3096" w:rsidRDefault="00490E4E" w:rsidP="007A3096">
        <w:pPr>
          <w:pStyle w:val="Footer"/>
          <w:pBdr>
            <w:top w:val="single" w:sz="4" w:space="1" w:color="auto"/>
          </w:pBdr>
          <w:jc w:val="right"/>
        </w:pPr>
        <w:r w:rsidRPr="00082DD3">
          <w:rPr>
            <w:i/>
            <w:iCs/>
            <w:sz w:val="20"/>
            <w:szCs w:val="20"/>
          </w:rPr>
          <w:t xml:space="preserve">2013 </w:t>
        </w:r>
        <w:r>
          <w:rPr>
            <w:i/>
            <w:iCs/>
            <w:sz w:val="20"/>
            <w:szCs w:val="20"/>
          </w:rPr>
          <w:t xml:space="preserve">WA </w:t>
        </w:r>
        <w:r w:rsidRPr="00082DD3">
          <w:rPr>
            <w:i/>
            <w:iCs/>
            <w:sz w:val="20"/>
            <w:szCs w:val="20"/>
          </w:rPr>
          <w:t>Crop Updates</w:t>
        </w:r>
        <w:r w:rsidR="007A3096">
          <w:rPr>
            <w:i/>
          </w:rPr>
          <w:t xml:space="preserve">   </w:t>
        </w:r>
        <w:r w:rsidR="007A3096" w:rsidRPr="007A3096">
          <w:t xml:space="preserve"> </w:t>
        </w:r>
        <w:r w:rsidR="007A3096">
          <w:fldChar w:fldCharType="begin"/>
        </w:r>
        <w:r w:rsidR="007A3096">
          <w:instrText xml:space="preserve"> PAGE   \* MERGEFORMAT </w:instrText>
        </w:r>
        <w:r w:rsidR="007A3096">
          <w:fldChar w:fldCharType="separate"/>
        </w:r>
        <w:r w:rsidR="00B47659">
          <w:rPr>
            <w:noProof/>
          </w:rPr>
          <w:t>3</w:t>
        </w:r>
        <w:r w:rsidR="007A309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96" w:rsidRPr="00082DD3" w:rsidRDefault="007A3096" w:rsidP="007A3096">
    <w:pPr>
      <w:pStyle w:val="Footer"/>
      <w:pBdr>
        <w:top w:val="single" w:sz="4" w:space="1" w:color="auto"/>
      </w:pBdr>
      <w:tabs>
        <w:tab w:val="clear" w:pos="9026"/>
        <w:tab w:val="right" w:pos="8789"/>
        <w:tab w:val="left" w:pos="9214"/>
      </w:tabs>
      <w:ind w:right="1276"/>
      <w:jc w:val="right"/>
      <w:rPr>
        <w:sz w:val="20"/>
        <w:szCs w:val="20"/>
      </w:rPr>
    </w:pPr>
    <w:r>
      <w:rPr>
        <w:i/>
        <w:iCs/>
        <w:noProof/>
        <w:sz w:val="20"/>
        <w:szCs w:val="20"/>
        <w:lang w:eastAsia="en-AU"/>
      </w:rPr>
      <w:drawing>
        <wp:anchor distT="0" distB="0" distL="114300" distR="114300" simplePos="0" relativeHeight="251665408" behindDoc="0" locked="0" layoutInCell="1" allowOverlap="1" wp14:anchorId="180DC11F" wp14:editId="62B67476">
          <wp:simplePos x="0" y="0"/>
          <wp:positionH relativeFrom="column">
            <wp:posOffset>5873750</wp:posOffset>
          </wp:positionH>
          <wp:positionV relativeFrom="paragraph">
            <wp:posOffset>-488950</wp:posOffset>
          </wp:positionV>
          <wp:extent cx="746125" cy="680085"/>
          <wp:effectExtent l="19050" t="0" r="0" b="0"/>
          <wp:wrapSquare wrapText="bothSides"/>
          <wp:docPr id="9" name="Picture 3" descr="C:\Users\Shai\AppData\Local\Microsoft\Windows\Temporary Internet Files\Content.Outlook\OOJEKQVR\Crop Updates_no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i\AppData\Local\Microsoft\Windows\Temporary Internet Files\Content.Outlook\OOJEKQVR\Crop Updates_no_da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125" cy="680085"/>
                  </a:xfrm>
                  <a:prstGeom prst="rect">
                    <a:avLst/>
                  </a:prstGeom>
                  <a:noFill/>
                  <a:ln>
                    <a:noFill/>
                  </a:ln>
                </pic:spPr>
              </pic:pic>
            </a:graphicData>
          </a:graphic>
        </wp:anchor>
      </w:drawing>
    </w:r>
    <w:r w:rsidRPr="00082DD3">
      <w:rPr>
        <w:i/>
        <w:iCs/>
        <w:sz w:val="20"/>
        <w:szCs w:val="20"/>
      </w:rPr>
      <w:t xml:space="preserve"> 2013 </w:t>
    </w:r>
    <w:r w:rsidR="00490E4E">
      <w:rPr>
        <w:i/>
        <w:iCs/>
        <w:sz w:val="20"/>
        <w:szCs w:val="20"/>
      </w:rPr>
      <w:t xml:space="preserve">WA </w:t>
    </w:r>
    <w:r w:rsidRPr="00082DD3">
      <w:rPr>
        <w:i/>
        <w:iCs/>
        <w:sz w:val="20"/>
        <w:szCs w:val="20"/>
      </w:rPr>
      <w:t>Crop Updates</w:t>
    </w:r>
    <w:r w:rsidRPr="00EE2AD1">
      <w:rPr>
        <w:noProof/>
        <w:sz w:val="24"/>
        <w:szCs w:val="24"/>
        <w:lang w:eastAsia="en-AU"/>
      </w:rPr>
      <w:t xml:space="preserve"> </w:t>
    </w:r>
  </w:p>
  <w:p w:rsidR="007A3096" w:rsidRDefault="007A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54" w:rsidRDefault="00F20854" w:rsidP="006B7EC2">
      <w:r>
        <w:separator/>
      </w:r>
    </w:p>
  </w:footnote>
  <w:footnote w:type="continuationSeparator" w:id="0">
    <w:p w:rsidR="00F20854" w:rsidRDefault="00F20854" w:rsidP="006B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96" w:rsidRDefault="007A3096" w:rsidP="007A3096">
    <w:pPr>
      <w:pStyle w:val="Header"/>
      <w:pBdr>
        <w:bottom w:val="single" w:sz="4" w:space="1" w:color="auto"/>
      </w:pBdr>
    </w:pPr>
    <w:r>
      <w:rPr>
        <w:noProof/>
        <w:lang w:eastAsia="en-AU"/>
      </w:rPr>
      <w:drawing>
        <wp:anchor distT="0" distB="0" distL="114300" distR="114300" simplePos="0" relativeHeight="251662336" behindDoc="0" locked="0" layoutInCell="1" allowOverlap="1" wp14:anchorId="6B1EE72F" wp14:editId="1B97F1EF">
          <wp:simplePos x="0" y="0"/>
          <wp:positionH relativeFrom="column">
            <wp:posOffset>4387215</wp:posOffset>
          </wp:positionH>
          <wp:positionV relativeFrom="paragraph">
            <wp:posOffset>60325</wp:posOffset>
          </wp:positionV>
          <wp:extent cx="226822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3657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2F291B0B" wp14:editId="56FF37D5">
          <wp:simplePos x="0" y="0"/>
          <wp:positionH relativeFrom="column">
            <wp:posOffset>137795</wp:posOffset>
          </wp:positionH>
          <wp:positionV relativeFrom="paragraph">
            <wp:posOffset>-24130</wp:posOffset>
          </wp:positionV>
          <wp:extent cx="2121535" cy="450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450850"/>
                  </a:xfrm>
                  <a:prstGeom prst="rect">
                    <a:avLst/>
                  </a:prstGeom>
                  <a:noFill/>
                </pic:spPr>
              </pic:pic>
            </a:graphicData>
          </a:graphic>
          <wp14:sizeRelH relativeFrom="page">
            <wp14:pctWidth>0</wp14:pctWidth>
          </wp14:sizeRelH>
          <wp14:sizeRelV relativeFrom="page">
            <wp14:pctHeight>0</wp14:pctHeight>
          </wp14:sizeRelV>
        </wp:anchor>
      </w:drawing>
    </w:r>
  </w:p>
  <w:p w:rsidR="007A3096" w:rsidRDefault="007A3096" w:rsidP="007A3096">
    <w:pPr>
      <w:pStyle w:val="Header"/>
      <w:pBdr>
        <w:bottom w:val="single" w:sz="4" w:space="1" w:color="auto"/>
      </w:pBdr>
    </w:pPr>
  </w:p>
  <w:p w:rsidR="007A3096" w:rsidRDefault="007A3096" w:rsidP="007A3096">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C2"/>
    <w:rsid w:val="000343B1"/>
    <w:rsid w:val="00082DD3"/>
    <w:rsid w:val="000D4BAE"/>
    <w:rsid w:val="00117F29"/>
    <w:rsid w:val="001513EA"/>
    <w:rsid w:val="00227C3B"/>
    <w:rsid w:val="003E72C4"/>
    <w:rsid w:val="00463EA9"/>
    <w:rsid w:val="00490E4E"/>
    <w:rsid w:val="005A0FD9"/>
    <w:rsid w:val="00682C0A"/>
    <w:rsid w:val="006B7EC2"/>
    <w:rsid w:val="00746B0D"/>
    <w:rsid w:val="007A3096"/>
    <w:rsid w:val="007A40CE"/>
    <w:rsid w:val="0098112F"/>
    <w:rsid w:val="00A2505A"/>
    <w:rsid w:val="00AB742E"/>
    <w:rsid w:val="00B47659"/>
    <w:rsid w:val="00BC56BF"/>
    <w:rsid w:val="00D90816"/>
    <w:rsid w:val="00EE2AD1"/>
    <w:rsid w:val="00F20854"/>
    <w:rsid w:val="00FF4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40CE"/>
    <w:pPr>
      <w:tabs>
        <w:tab w:val="left" w:pos="567"/>
        <w:tab w:val="left" w:pos="1134"/>
        <w:tab w:val="left" w:pos="1701"/>
      </w:tabs>
      <w:spacing w:after="120" w:line="240" w:lineRule="atLeast"/>
      <w:outlineLvl w:val="0"/>
    </w:pPr>
    <w:rPr>
      <w:rFonts w:ascii="Arial" w:hAnsi="Arial" w:cs="Arial"/>
      <w:b/>
      <w:bCs/>
      <w:sz w:val="36"/>
      <w:szCs w:val="36"/>
      <w:lang w:eastAsia="en-AU"/>
    </w:rPr>
  </w:style>
  <w:style w:type="paragraph" w:styleId="Heading2">
    <w:name w:val="heading 2"/>
    <w:basedOn w:val="Normal"/>
    <w:next w:val="para"/>
    <w:link w:val="Heading2Char"/>
    <w:qFormat/>
    <w:rsid w:val="007A40CE"/>
    <w:pPr>
      <w:tabs>
        <w:tab w:val="left" w:pos="567"/>
        <w:tab w:val="left" w:pos="1134"/>
        <w:tab w:val="left" w:pos="1701"/>
      </w:tabs>
      <w:spacing w:before="360"/>
      <w:outlineLvl w:val="1"/>
    </w:pPr>
    <w:rPr>
      <w:rFonts w:ascii="Arial" w:hAnsi="Arial" w:cs="Arial"/>
      <w:b/>
      <w:bCs/>
      <w:caps/>
      <w:lang w:eastAsia="en-AU"/>
    </w:rPr>
  </w:style>
  <w:style w:type="paragraph" w:styleId="Heading3">
    <w:name w:val="heading 3"/>
    <w:basedOn w:val="Normal"/>
    <w:next w:val="para"/>
    <w:link w:val="Heading3Char"/>
    <w:qFormat/>
    <w:rsid w:val="007A40CE"/>
    <w:pPr>
      <w:tabs>
        <w:tab w:val="left" w:pos="567"/>
        <w:tab w:val="left" w:pos="1134"/>
        <w:tab w:val="left" w:pos="1701"/>
      </w:tabs>
      <w:spacing w:before="240"/>
      <w:outlineLvl w:val="2"/>
    </w:pPr>
    <w:rPr>
      <w:rFonts w:ascii="Arial" w:hAnsi="Arial" w:cs="Arial"/>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C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EC2"/>
  </w:style>
  <w:style w:type="paragraph" w:styleId="Footer">
    <w:name w:val="footer"/>
    <w:basedOn w:val="Normal"/>
    <w:link w:val="FooterChar"/>
    <w:uiPriority w:val="99"/>
    <w:unhideWhenUsed/>
    <w:rsid w:val="006B7EC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EC2"/>
  </w:style>
  <w:style w:type="paragraph" w:styleId="BalloonText">
    <w:name w:val="Balloon Text"/>
    <w:basedOn w:val="Normal"/>
    <w:link w:val="BalloonTextChar"/>
    <w:uiPriority w:val="99"/>
    <w:semiHidden/>
    <w:unhideWhenUsed/>
    <w:rsid w:val="006B7EC2"/>
    <w:rPr>
      <w:rFonts w:ascii="Tahoma" w:hAnsi="Tahoma" w:cs="Tahoma"/>
      <w:sz w:val="16"/>
      <w:szCs w:val="16"/>
    </w:rPr>
  </w:style>
  <w:style w:type="character" w:customStyle="1" w:styleId="BalloonTextChar">
    <w:name w:val="Balloon Text Char"/>
    <w:basedOn w:val="DefaultParagraphFont"/>
    <w:link w:val="BalloonText"/>
    <w:uiPriority w:val="99"/>
    <w:semiHidden/>
    <w:rsid w:val="006B7EC2"/>
    <w:rPr>
      <w:rFonts w:ascii="Tahoma" w:hAnsi="Tahoma" w:cs="Tahoma"/>
      <w:sz w:val="16"/>
      <w:szCs w:val="16"/>
    </w:rPr>
  </w:style>
  <w:style w:type="character" w:customStyle="1" w:styleId="Heading1Char">
    <w:name w:val="Heading 1 Char"/>
    <w:basedOn w:val="DefaultParagraphFont"/>
    <w:link w:val="Heading1"/>
    <w:rsid w:val="007A40CE"/>
    <w:rPr>
      <w:rFonts w:ascii="Arial" w:eastAsia="Times New Roman" w:hAnsi="Arial" w:cs="Arial"/>
      <w:b/>
      <w:bCs/>
      <w:sz w:val="36"/>
      <w:szCs w:val="36"/>
      <w:lang w:eastAsia="en-AU"/>
    </w:rPr>
  </w:style>
  <w:style w:type="character" w:customStyle="1" w:styleId="Heading2Char">
    <w:name w:val="Heading 2 Char"/>
    <w:basedOn w:val="DefaultParagraphFont"/>
    <w:link w:val="Heading2"/>
    <w:rsid w:val="007A40CE"/>
    <w:rPr>
      <w:rFonts w:ascii="Arial" w:eastAsia="Times New Roman" w:hAnsi="Arial" w:cs="Arial"/>
      <w:b/>
      <w:bCs/>
      <w:caps/>
      <w:sz w:val="24"/>
      <w:szCs w:val="24"/>
      <w:lang w:eastAsia="en-AU"/>
    </w:rPr>
  </w:style>
  <w:style w:type="character" w:customStyle="1" w:styleId="Heading3Char">
    <w:name w:val="Heading 3 Char"/>
    <w:basedOn w:val="DefaultParagraphFont"/>
    <w:link w:val="Heading3"/>
    <w:rsid w:val="007A40CE"/>
    <w:rPr>
      <w:rFonts w:ascii="Arial" w:eastAsia="Times New Roman" w:hAnsi="Arial" w:cs="Arial"/>
      <w:i/>
      <w:iCs/>
      <w:sz w:val="24"/>
      <w:szCs w:val="24"/>
      <w:lang w:eastAsia="en-AU"/>
    </w:rPr>
  </w:style>
  <w:style w:type="table" w:styleId="TableGrid">
    <w:name w:val="Table Grid"/>
    <w:basedOn w:val="TableNormal"/>
    <w:rsid w:val="007A40CE"/>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next w:val="Normal"/>
    <w:rsid w:val="007A40CE"/>
    <w:pPr>
      <w:tabs>
        <w:tab w:val="left" w:pos="567"/>
        <w:tab w:val="left" w:pos="1134"/>
        <w:tab w:val="left" w:pos="1701"/>
      </w:tabs>
      <w:spacing w:before="120"/>
    </w:pPr>
    <w:rPr>
      <w:rFonts w:ascii="Arial" w:hAnsi="Arial" w:cs="Arial"/>
      <w:sz w:val="20"/>
      <w:szCs w:val="20"/>
      <w:lang w:eastAsia="en-AU"/>
    </w:rPr>
  </w:style>
  <w:style w:type="paragraph" w:customStyle="1" w:styleId="Author">
    <w:name w:val="Author"/>
    <w:basedOn w:val="Normal"/>
    <w:rsid w:val="007A40CE"/>
    <w:pPr>
      <w:tabs>
        <w:tab w:val="left" w:pos="567"/>
        <w:tab w:val="left" w:pos="1134"/>
        <w:tab w:val="left" w:pos="1701"/>
      </w:tabs>
    </w:pPr>
    <w:rPr>
      <w:rFonts w:ascii="Arial" w:hAnsi="Arial" w:cs="Arial"/>
      <w:b/>
      <w:bCs/>
      <w:lang w:eastAsia="en-AU"/>
    </w:rPr>
  </w:style>
  <w:style w:type="paragraph" w:styleId="NoSpacing">
    <w:name w:val="No Spacing"/>
    <w:qFormat/>
    <w:rsid w:val="007A40CE"/>
    <w:pPr>
      <w:spacing w:after="0" w:line="240" w:lineRule="auto"/>
    </w:pPr>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40CE"/>
    <w:pPr>
      <w:tabs>
        <w:tab w:val="left" w:pos="567"/>
        <w:tab w:val="left" w:pos="1134"/>
        <w:tab w:val="left" w:pos="1701"/>
      </w:tabs>
      <w:spacing w:after="120" w:line="240" w:lineRule="atLeast"/>
      <w:outlineLvl w:val="0"/>
    </w:pPr>
    <w:rPr>
      <w:rFonts w:ascii="Arial" w:hAnsi="Arial" w:cs="Arial"/>
      <w:b/>
      <w:bCs/>
      <w:sz w:val="36"/>
      <w:szCs w:val="36"/>
      <w:lang w:eastAsia="en-AU"/>
    </w:rPr>
  </w:style>
  <w:style w:type="paragraph" w:styleId="Heading2">
    <w:name w:val="heading 2"/>
    <w:basedOn w:val="Normal"/>
    <w:next w:val="para"/>
    <w:link w:val="Heading2Char"/>
    <w:qFormat/>
    <w:rsid w:val="007A40CE"/>
    <w:pPr>
      <w:tabs>
        <w:tab w:val="left" w:pos="567"/>
        <w:tab w:val="left" w:pos="1134"/>
        <w:tab w:val="left" w:pos="1701"/>
      </w:tabs>
      <w:spacing w:before="360"/>
      <w:outlineLvl w:val="1"/>
    </w:pPr>
    <w:rPr>
      <w:rFonts w:ascii="Arial" w:hAnsi="Arial" w:cs="Arial"/>
      <w:b/>
      <w:bCs/>
      <w:caps/>
      <w:lang w:eastAsia="en-AU"/>
    </w:rPr>
  </w:style>
  <w:style w:type="paragraph" w:styleId="Heading3">
    <w:name w:val="heading 3"/>
    <w:basedOn w:val="Normal"/>
    <w:next w:val="para"/>
    <w:link w:val="Heading3Char"/>
    <w:qFormat/>
    <w:rsid w:val="007A40CE"/>
    <w:pPr>
      <w:tabs>
        <w:tab w:val="left" w:pos="567"/>
        <w:tab w:val="left" w:pos="1134"/>
        <w:tab w:val="left" w:pos="1701"/>
      </w:tabs>
      <w:spacing w:before="240"/>
      <w:outlineLvl w:val="2"/>
    </w:pPr>
    <w:rPr>
      <w:rFonts w:ascii="Arial" w:hAnsi="Arial" w:cs="Arial"/>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C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EC2"/>
  </w:style>
  <w:style w:type="paragraph" w:styleId="Footer">
    <w:name w:val="footer"/>
    <w:basedOn w:val="Normal"/>
    <w:link w:val="FooterChar"/>
    <w:uiPriority w:val="99"/>
    <w:unhideWhenUsed/>
    <w:rsid w:val="006B7EC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EC2"/>
  </w:style>
  <w:style w:type="paragraph" w:styleId="BalloonText">
    <w:name w:val="Balloon Text"/>
    <w:basedOn w:val="Normal"/>
    <w:link w:val="BalloonTextChar"/>
    <w:uiPriority w:val="99"/>
    <w:semiHidden/>
    <w:unhideWhenUsed/>
    <w:rsid w:val="006B7EC2"/>
    <w:rPr>
      <w:rFonts w:ascii="Tahoma" w:hAnsi="Tahoma" w:cs="Tahoma"/>
      <w:sz w:val="16"/>
      <w:szCs w:val="16"/>
    </w:rPr>
  </w:style>
  <w:style w:type="character" w:customStyle="1" w:styleId="BalloonTextChar">
    <w:name w:val="Balloon Text Char"/>
    <w:basedOn w:val="DefaultParagraphFont"/>
    <w:link w:val="BalloonText"/>
    <w:uiPriority w:val="99"/>
    <w:semiHidden/>
    <w:rsid w:val="006B7EC2"/>
    <w:rPr>
      <w:rFonts w:ascii="Tahoma" w:hAnsi="Tahoma" w:cs="Tahoma"/>
      <w:sz w:val="16"/>
      <w:szCs w:val="16"/>
    </w:rPr>
  </w:style>
  <w:style w:type="character" w:customStyle="1" w:styleId="Heading1Char">
    <w:name w:val="Heading 1 Char"/>
    <w:basedOn w:val="DefaultParagraphFont"/>
    <w:link w:val="Heading1"/>
    <w:rsid w:val="007A40CE"/>
    <w:rPr>
      <w:rFonts w:ascii="Arial" w:eastAsia="Times New Roman" w:hAnsi="Arial" w:cs="Arial"/>
      <w:b/>
      <w:bCs/>
      <w:sz w:val="36"/>
      <w:szCs w:val="36"/>
      <w:lang w:eastAsia="en-AU"/>
    </w:rPr>
  </w:style>
  <w:style w:type="character" w:customStyle="1" w:styleId="Heading2Char">
    <w:name w:val="Heading 2 Char"/>
    <w:basedOn w:val="DefaultParagraphFont"/>
    <w:link w:val="Heading2"/>
    <w:rsid w:val="007A40CE"/>
    <w:rPr>
      <w:rFonts w:ascii="Arial" w:eastAsia="Times New Roman" w:hAnsi="Arial" w:cs="Arial"/>
      <w:b/>
      <w:bCs/>
      <w:caps/>
      <w:sz w:val="24"/>
      <w:szCs w:val="24"/>
      <w:lang w:eastAsia="en-AU"/>
    </w:rPr>
  </w:style>
  <w:style w:type="character" w:customStyle="1" w:styleId="Heading3Char">
    <w:name w:val="Heading 3 Char"/>
    <w:basedOn w:val="DefaultParagraphFont"/>
    <w:link w:val="Heading3"/>
    <w:rsid w:val="007A40CE"/>
    <w:rPr>
      <w:rFonts w:ascii="Arial" w:eastAsia="Times New Roman" w:hAnsi="Arial" w:cs="Arial"/>
      <w:i/>
      <w:iCs/>
      <w:sz w:val="24"/>
      <w:szCs w:val="24"/>
      <w:lang w:eastAsia="en-AU"/>
    </w:rPr>
  </w:style>
  <w:style w:type="table" w:styleId="TableGrid">
    <w:name w:val="Table Grid"/>
    <w:basedOn w:val="TableNormal"/>
    <w:rsid w:val="007A40CE"/>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next w:val="Normal"/>
    <w:rsid w:val="007A40CE"/>
    <w:pPr>
      <w:tabs>
        <w:tab w:val="left" w:pos="567"/>
        <w:tab w:val="left" w:pos="1134"/>
        <w:tab w:val="left" w:pos="1701"/>
      </w:tabs>
      <w:spacing w:before="120"/>
    </w:pPr>
    <w:rPr>
      <w:rFonts w:ascii="Arial" w:hAnsi="Arial" w:cs="Arial"/>
      <w:sz w:val="20"/>
      <w:szCs w:val="20"/>
      <w:lang w:eastAsia="en-AU"/>
    </w:rPr>
  </w:style>
  <w:style w:type="paragraph" w:customStyle="1" w:styleId="Author">
    <w:name w:val="Author"/>
    <w:basedOn w:val="Normal"/>
    <w:rsid w:val="007A40CE"/>
    <w:pPr>
      <w:tabs>
        <w:tab w:val="left" w:pos="567"/>
        <w:tab w:val="left" w:pos="1134"/>
        <w:tab w:val="left" w:pos="1701"/>
      </w:tabs>
    </w:pPr>
    <w:rPr>
      <w:rFonts w:ascii="Arial" w:hAnsi="Arial" w:cs="Arial"/>
      <w:b/>
      <w:bCs/>
      <w:lang w:eastAsia="en-AU"/>
    </w:rPr>
  </w:style>
  <w:style w:type="paragraph" w:styleId="NoSpacing">
    <w:name w:val="No Spacing"/>
    <w:qFormat/>
    <w:rsid w:val="007A40CE"/>
    <w:pPr>
      <w:spacing w:after="0" w:line="240" w:lineRule="auto"/>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2F06-7D6E-47B8-BF96-9E44C745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Dunbar</dc:creator>
  <cp:lastModifiedBy>Shai Dunbar</cp:lastModifiedBy>
  <cp:revision>3</cp:revision>
  <dcterms:created xsi:type="dcterms:W3CDTF">2013-01-21T05:59:00Z</dcterms:created>
  <dcterms:modified xsi:type="dcterms:W3CDTF">2013-02-18T06:40:00Z</dcterms:modified>
</cp:coreProperties>
</file>